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F96E8D" w:rsidRDefault="00C63AE6" w:rsidP="004D2608">
      <w:pPr>
        <w:spacing w:after="0" w:line="240" w:lineRule="auto"/>
        <w:jc w:val="center"/>
        <w:rPr>
          <w:rFonts w:ascii="Times New Roman" w:hAnsi="Times New Roman" w:cs="Times New Roman"/>
        </w:rPr>
      </w:pPr>
      <w:r>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fillcolor="window">
            <v:imagedata r:id="rId9" o:title=""/>
          </v:shape>
        </w:pict>
      </w:r>
    </w:p>
    <w:p w:rsidR="004D2608" w:rsidRPr="00F96E8D" w:rsidRDefault="004D2608" w:rsidP="004D2608">
      <w:pPr>
        <w:pStyle w:val="a4"/>
        <w:jc w:val="center"/>
        <w:rPr>
          <w:sz w:val="20"/>
        </w:rPr>
      </w:pPr>
    </w:p>
    <w:p w:rsidR="004D2608" w:rsidRPr="00F96E8D" w:rsidRDefault="004D2608" w:rsidP="004D2608">
      <w:pPr>
        <w:pStyle w:val="a4"/>
        <w:jc w:val="center"/>
        <w:rPr>
          <w:sz w:val="20"/>
        </w:rPr>
      </w:pPr>
      <w:r w:rsidRPr="00F96E8D">
        <w:rPr>
          <w:sz w:val="20"/>
        </w:rPr>
        <w:t xml:space="preserve">МУНИЦИПАЛЬНОЕ ОБРАЗОВАНИЕ </w:t>
      </w:r>
      <w:r w:rsidR="00CC741F" w:rsidRPr="00F96E8D">
        <w:rPr>
          <w:sz w:val="20"/>
        </w:rPr>
        <w:t xml:space="preserve"> «</w:t>
      </w:r>
      <w:r w:rsidRPr="00F96E8D">
        <w:rPr>
          <w:sz w:val="20"/>
        </w:rPr>
        <w:t>ТОМСКИЙ РАЙОН</w:t>
      </w:r>
      <w:r w:rsidR="00CC741F" w:rsidRPr="00F96E8D">
        <w:rPr>
          <w:sz w:val="20"/>
        </w:rPr>
        <w:t>»</w:t>
      </w:r>
    </w:p>
    <w:p w:rsidR="004D2608" w:rsidRPr="00F96E8D" w:rsidRDefault="004D2608" w:rsidP="004D2608">
      <w:pPr>
        <w:pStyle w:val="1"/>
        <w:spacing w:before="0" w:after="0"/>
        <w:jc w:val="center"/>
        <w:rPr>
          <w:rFonts w:ascii="Times New Roman" w:hAnsi="Times New Roman"/>
          <w:b w:val="0"/>
          <w:kern w:val="0"/>
          <w:szCs w:val="28"/>
        </w:rPr>
      </w:pPr>
    </w:p>
    <w:p w:rsidR="004D2608" w:rsidRPr="00F96E8D" w:rsidRDefault="004D2608" w:rsidP="004D2608">
      <w:pPr>
        <w:spacing w:after="0" w:line="240" w:lineRule="auto"/>
        <w:jc w:val="center"/>
        <w:rPr>
          <w:rFonts w:ascii="Times New Roman" w:hAnsi="Times New Roman" w:cs="Times New Roman"/>
          <w:b/>
          <w:sz w:val="28"/>
          <w:szCs w:val="28"/>
        </w:rPr>
      </w:pPr>
      <w:r w:rsidRPr="00F96E8D">
        <w:rPr>
          <w:rFonts w:ascii="Times New Roman" w:hAnsi="Times New Roman" w:cs="Times New Roman"/>
          <w:b/>
          <w:sz w:val="28"/>
          <w:szCs w:val="28"/>
        </w:rPr>
        <w:t>АДМИНИСТРАЦИЯ ТОМСКОГО РАЙОНА</w:t>
      </w:r>
    </w:p>
    <w:p w:rsidR="004D2608" w:rsidRPr="00F96E8D" w:rsidRDefault="004D2608" w:rsidP="004D2608">
      <w:pPr>
        <w:spacing w:after="0" w:line="240" w:lineRule="auto"/>
        <w:jc w:val="center"/>
        <w:rPr>
          <w:rFonts w:ascii="Times New Roman" w:hAnsi="Times New Roman" w:cs="Times New Roman"/>
          <w:b/>
          <w:sz w:val="28"/>
          <w:szCs w:val="28"/>
        </w:rPr>
      </w:pPr>
    </w:p>
    <w:p w:rsidR="004D2608" w:rsidRPr="00F96E8D" w:rsidRDefault="004D2608" w:rsidP="004D2608">
      <w:pPr>
        <w:spacing w:after="0" w:line="240" w:lineRule="auto"/>
        <w:jc w:val="center"/>
        <w:rPr>
          <w:rFonts w:ascii="Times New Roman" w:hAnsi="Times New Roman" w:cs="Times New Roman"/>
          <w:b/>
          <w:sz w:val="28"/>
          <w:szCs w:val="28"/>
        </w:rPr>
      </w:pPr>
      <w:r w:rsidRPr="00F96E8D">
        <w:rPr>
          <w:rFonts w:ascii="Times New Roman" w:hAnsi="Times New Roman" w:cs="Times New Roman"/>
          <w:b/>
          <w:sz w:val="28"/>
          <w:szCs w:val="28"/>
        </w:rPr>
        <w:t>ПОСТАНОВЛЕНИЕ</w:t>
      </w:r>
    </w:p>
    <w:p w:rsidR="004D2608" w:rsidRPr="00F96E8D" w:rsidRDefault="004D2608" w:rsidP="004D2608">
      <w:pPr>
        <w:spacing w:after="0" w:line="240" w:lineRule="auto"/>
        <w:rPr>
          <w:rFonts w:ascii="Times New Roman" w:hAnsi="Times New Roman" w:cs="Times New Roman"/>
        </w:rPr>
      </w:pPr>
    </w:p>
    <w:p w:rsidR="004D2608" w:rsidRPr="00F96E8D" w:rsidRDefault="00BB27BE" w:rsidP="00BB27BE">
      <w:pPr>
        <w:pStyle w:val="a3"/>
        <w:tabs>
          <w:tab w:val="clear" w:pos="6804"/>
          <w:tab w:val="right" w:pos="-2977"/>
          <w:tab w:val="left" w:pos="851"/>
          <w:tab w:val="left" w:pos="8789"/>
        </w:tabs>
        <w:spacing w:before="0"/>
        <w:rPr>
          <w:sz w:val="26"/>
          <w:szCs w:val="26"/>
        </w:rPr>
      </w:pPr>
      <w:r w:rsidRPr="00F96E8D">
        <w:rPr>
          <w:sz w:val="26"/>
          <w:szCs w:val="26"/>
        </w:rPr>
        <w:t>25.12.</w:t>
      </w:r>
      <w:r w:rsidR="004D2608" w:rsidRPr="00F96E8D">
        <w:rPr>
          <w:sz w:val="26"/>
          <w:szCs w:val="26"/>
        </w:rPr>
        <w:t>202</w:t>
      </w:r>
      <w:r w:rsidR="00892D27" w:rsidRPr="00F96E8D">
        <w:rPr>
          <w:sz w:val="26"/>
          <w:szCs w:val="26"/>
        </w:rPr>
        <w:t>4</w:t>
      </w:r>
      <w:r w:rsidR="004D2608" w:rsidRPr="00F96E8D">
        <w:rPr>
          <w:sz w:val="26"/>
          <w:szCs w:val="26"/>
        </w:rPr>
        <w:tab/>
      </w:r>
      <w:r w:rsidRPr="00F96E8D">
        <w:rPr>
          <w:sz w:val="26"/>
          <w:szCs w:val="26"/>
        </w:rPr>
        <w:t>№ 954-П</w:t>
      </w:r>
    </w:p>
    <w:p w:rsidR="004D2608" w:rsidRPr="00F96E8D" w:rsidRDefault="00533594" w:rsidP="004D2608">
      <w:pPr>
        <w:pStyle w:val="a3"/>
        <w:tabs>
          <w:tab w:val="clear" w:pos="6804"/>
        </w:tabs>
        <w:spacing w:before="0"/>
        <w:jc w:val="center"/>
        <w:rPr>
          <w:sz w:val="26"/>
          <w:szCs w:val="26"/>
        </w:rPr>
      </w:pPr>
      <w:r w:rsidRPr="00F96E8D">
        <w:rPr>
          <w:sz w:val="26"/>
          <w:szCs w:val="26"/>
        </w:rPr>
        <w:t>Томск</w:t>
      </w:r>
    </w:p>
    <w:p w:rsidR="004D2608" w:rsidRPr="00F96E8D"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F96E8D" w:rsidRDefault="004D2608" w:rsidP="00F96E8D">
      <w:pPr>
        <w:spacing w:after="0" w:line="240" w:lineRule="auto"/>
        <w:ind w:right="5384"/>
        <w:jc w:val="both"/>
      </w:pPr>
      <w:r w:rsidRPr="00F96E8D">
        <w:rPr>
          <w:rFonts w:ascii="Times New Roman" w:hAnsi="Times New Roman" w:cs="Times New Roman"/>
          <w:sz w:val="24"/>
        </w:rPr>
        <w:t>О внесении изменений в постановление</w:t>
      </w:r>
      <w:r w:rsidR="00F96E8D" w:rsidRPr="00F96E8D">
        <w:rPr>
          <w:rFonts w:ascii="Times New Roman" w:hAnsi="Times New Roman" w:cs="Times New Roman"/>
          <w:sz w:val="24"/>
        </w:rPr>
        <w:t xml:space="preserve"> </w:t>
      </w:r>
      <w:r w:rsidRPr="00F96E8D">
        <w:rPr>
          <w:rFonts w:ascii="Times New Roman" w:hAnsi="Times New Roman" w:cs="Times New Roman"/>
          <w:sz w:val="24"/>
        </w:rPr>
        <w:t>Администрации Томского района</w:t>
      </w:r>
      <w:r w:rsidR="00F96E8D" w:rsidRPr="00F96E8D">
        <w:rPr>
          <w:rFonts w:ascii="Times New Roman" w:hAnsi="Times New Roman" w:cs="Times New Roman"/>
          <w:sz w:val="24"/>
        </w:rPr>
        <w:t xml:space="preserve"> </w:t>
      </w:r>
      <w:r w:rsidRPr="00F96E8D">
        <w:rPr>
          <w:rFonts w:ascii="Times New Roman" w:hAnsi="Times New Roman" w:cs="Times New Roman"/>
          <w:sz w:val="24"/>
        </w:rPr>
        <w:t>от 2 ноября 2020 года № 396</w:t>
      </w:r>
      <w:r w:rsidR="00F96E8D" w:rsidRPr="00F96E8D">
        <w:rPr>
          <w:rFonts w:ascii="Times New Roman" w:hAnsi="Times New Roman" w:cs="Times New Roman"/>
          <w:sz w:val="24"/>
        </w:rPr>
        <w:t xml:space="preserve"> </w:t>
      </w:r>
      <w:r w:rsidR="00CC741F" w:rsidRPr="00F96E8D">
        <w:rPr>
          <w:rFonts w:ascii="Times New Roman" w:hAnsi="Times New Roman" w:cs="Times New Roman"/>
          <w:sz w:val="24"/>
        </w:rPr>
        <w:t>«</w:t>
      </w:r>
      <w:r w:rsidRPr="00F96E8D">
        <w:rPr>
          <w:rFonts w:ascii="Times New Roman" w:hAnsi="Times New Roman" w:cs="Times New Roman"/>
          <w:sz w:val="24"/>
        </w:rPr>
        <w:t>Об утверждении муниципальной программы</w:t>
      </w:r>
      <w:r w:rsidR="00F96E8D" w:rsidRPr="00F96E8D">
        <w:rPr>
          <w:rFonts w:ascii="Times New Roman" w:hAnsi="Times New Roman" w:cs="Times New Roman"/>
          <w:sz w:val="24"/>
        </w:rPr>
        <w:t xml:space="preserve"> </w:t>
      </w:r>
      <w:r w:rsidR="00CC741F" w:rsidRPr="00F96E8D">
        <w:rPr>
          <w:rFonts w:ascii="Times New Roman" w:hAnsi="Times New Roman" w:cs="Times New Roman"/>
          <w:sz w:val="24"/>
        </w:rPr>
        <w:t>«</w:t>
      </w:r>
      <w:r w:rsidRPr="00F96E8D">
        <w:rPr>
          <w:rFonts w:ascii="Times New Roman" w:hAnsi="Times New Roman" w:cs="Times New Roman"/>
          <w:sz w:val="24"/>
        </w:rPr>
        <w:t>Эффективное управление муниципальными</w:t>
      </w:r>
      <w:r w:rsidR="00F96E8D" w:rsidRPr="00F96E8D">
        <w:rPr>
          <w:rFonts w:ascii="Times New Roman" w:hAnsi="Times New Roman" w:cs="Times New Roman"/>
          <w:sz w:val="24"/>
        </w:rPr>
        <w:t xml:space="preserve"> </w:t>
      </w:r>
      <w:r w:rsidRPr="00F96E8D">
        <w:rPr>
          <w:rFonts w:ascii="Times New Roman" w:hAnsi="Times New Roman" w:cs="Times New Roman"/>
          <w:sz w:val="24"/>
        </w:rPr>
        <w:t>финансами Томского района</w:t>
      </w:r>
      <w:r w:rsidR="00CC741F" w:rsidRPr="00F96E8D">
        <w:rPr>
          <w:rFonts w:ascii="Times New Roman" w:hAnsi="Times New Roman" w:cs="Times New Roman"/>
          <w:sz w:val="24"/>
        </w:rPr>
        <w:t>»</w:t>
      </w:r>
    </w:p>
    <w:p w:rsidR="004D2608" w:rsidRPr="00F96E8D" w:rsidRDefault="004D2608" w:rsidP="004D2608">
      <w:pPr>
        <w:spacing w:after="0" w:line="240" w:lineRule="auto"/>
        <w:ind w:right="5243"/>
        <w:rPr>
          <w:rFonts w:ascii="Times New Roman" w:hAnsi="Times New Roman" w:cs="Times New Roman"/>
          <w:sz w:val="26"/>
          <w:szCs w:val="26"/>
        </w:rPr>
      </w:pPr>
    </w:p>
    <w:p w:rsidR="004D2608" w:rsidRPr="00F96E8D" w:rsidRDefault="004D2608" w:rsidP="004D2608">
      <w:pPr>
        <w:pStyle w:val="ConsPlusNormal"/>
        <w:ind w:firstLine="540"/>
        <w:jc w:val="both"/>
        <w:rPr>
          <w:rFonts w:ascii="Times New Roman" w:hAnsi="Times New Roman" w:cs="Times New Roman"/>
          <w:spacing w:val="4"/>
          <w:sz w:val="26"/>
          <w:szCs w:val="26"/>
        </w:rPr>
      </w:pPr>
      <w:r w:rsidRPr="00F96E8D">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F96E8D">
        <w:rPr>
          <w:rFonts w:ascii="Times New Roman" w:hAnsi="Times New Roman" w:cs="Times New Roman"/>
          <w:sz w:val="26"/>
          <w:szCs w:val="26"/>
        </w:rPr>
        <w:t xml:space="preserve"> </w:t>
      </w:r>
      <w:r w:rsidRPr="00F96E8D">
        <w:rPr>
          <w:rFonts w:ascii="Times New Roman" w:hAnsi="Times New Roman" w:cs="Times New Roman"/>
          <w:spacing w:val="4"/>
          <w:sz w:val="26"/>
          <w:szCs w:val="26"/>
        </w:rPr>
        <w:t>ре</w:t>
      </w:r>
      <w:r w:rsidR="00C43EE7" w:rsidRPr="00F96E8D">
        <w:rPr>
          <w:rFonts w:ascii="Times New Roman" w:hAnsi="Times New Roman" w:cs="Times New Roman"/>
          <w:spacing w:val="4"/>
          <w:sz w:val="26"/>
          <w:szCs w:val="26"/>
        </w:rPr>
        <w:t>шением Думы Томского района от 22</w:t>
      </w:r>
      <w:r w:rsidRPr="00F96E8D">
        <w:rPr>
          <w:rFonts w:ascii="Times New Roman" w:hAnsi="Times New Roman" w:cs="Times New Roman"/>
          <w:spacing w:val="4"/>
          <w:sz w:val="26"/>
          <w:szCs w:val="26"/>
        </w:rPr>
        <w:t xml:space="preserve"> декабря 202</w:t>
      </w:r>
      <w:r w:rsidR="00C43EE7" w:rsidRPr="00F96E8D">
        <w:rPr>
          <w:rFonts w:ascii="Times New Roman" w:hAnsi="Times New Roman" w:cs="Times New Roman"/>
          <w:spacing w:val="4"/>
          <w:sz w:val="26"/>
          <w:szCs w:val="26"/>
        </w:rPr>
        <w:t>3</w:t>
      </w:r>
      <w:r w:rsidRPr="00F96E8D">
        <w:rPr>
          <w:rFonts w:ascii="Times New Roman" w:hAnsi="Times New Roman" w:cs="Times New Roman"/>
          <w:spacing w:val="4"/>
          <w:sz w:val="26"/>
          <w:szCs w:val="26"/>
        </w:rPr>
        <w:t xml:space="preserve"> года № </w:t>
      </w:r>
      <w:r w:rsidR="00C43EE7" w:rsidRPr="00F96E8D">
        <w:rPr>
          <w:rFonts w:ascii="Times New Roman" w:hAnsi="Times New Roman" w:cs="Times New Roman"/>
          <w:spacing w:val="4"/>
          <w:sz w:val="26"/>
          <w:szCs w:val="26"/>
        </w:rPr>
        <w:t>240</w:t>
      </w:r>
      <w:r w:rsidR="00CC741F" w:rsidRPr="00F96E8D">
        <w:rPr>
          <w:rFonts w:ascii="Times New Roman" w:hAnsi="Times New Roman" w:cs="Times New Roman"/>
          <w:spacing w:val="4"/>
          <w:sz w:val="26"/>
          <w:szCs w:val="26"/>
        </w:rPr>
        <w:t xml:space="preserve"> «</w:t>
      </w:r>
      <w:r w:rsidRPr="00F96E8D">
        <w:rPr>
          <w:rFonts w:ascii="Times New Roman" w:hAnsi="Times New Roman" w:cs="Times New Roman"/>
          <w:spacing w:val="4"/>
          <w:sz w:val="26"/>
          <w:szCs w:val="26"/>
        </w:rPr>
        <w:t>Об утверждении бюджета Томского района на 202</w:t>
      </w:r>
      <w:r w:rsidR="00C43EE7" w:rsidRPr="00F96E8D">
        <w:rPr>
          <w:rFonts w:ascii="Times New Roman" w:hAnsi="Times New Roman" w:cs="Times New Roman"/>
          <w:spacing w:val="4"/>
          <w:sz w:val="26"/>
          <w:szCs w:val="26"/>
        </w:rPr>
        <w:t>4</w:t>
      </w:r>
      <w:r w:rsidRPr="00F96E8D">
        <w:rPr>
          <w:rFonts w:ascii="Times New Roman" w:hAnsi="Times New Roman" w:cs="Times New Roman"/>
          <w:spacing w:val="4"/>
          <w:sz w:val="26"/>
          <w:szCs w:val="26"/>
        </w:rPr>
        <w:t xml:space="preserve"> год и плановый период 202</w:t>
      </w:r>
      <w:r w:rsidR="00C43EE7" w:rsidRPr="00F96E8D">
        <w:rPr>
          <w:rFonts w:ascii="Times New Roman" w:hAnsi="Times New Roman" w:cs="Times New Roman"/>
          <w:spacing w:val="4"/>
          <w:sz w:val="26"/>
          <w:szCs w:val="26"/>
        </w:rPr>
        <w:t>5</w:t>
      </w:r>
      <w:r w:rsidRPr="00F96E8D">
        <w:rPr>
          <w:rFonts w:ascii="Times New Roman" w:hAnsi="Times New Roman" w:cs="Times New Roman"/>
          <w:spacing w:val="4"/>
          <w:sz w:val="26"/>
          <w:szCs w:val="26"/>
        </w:rPr>
        <w:t xml:space="preserve"> и 202</w:t>
      </w:r>
      <w:r w:rsidR="00C43EE7" w:rsidRPr="00F96E8D">
        <w:rPr>
          <w:rFonts w:ascii="Times New Roman" w:hAnsi="Times New Roman" w:cs="Times New Roman"/>
          <w:spacing w:val="4"/>
          <w:sz w:val="26"/>
          <w:szCs w:val="26"/>
        </w:rPr>
        <w:t>6</w:t>
      </w:r>
      <w:r w:rsidRPr="00F96E8D">
        <w:rPr>
          <w:rFonts w:ascii="Times New Roman" w:hAnsi="Times New Roman" w:cs="Times New Roman"/>
          <w:spacing w:val="4"/>
          <w:sz w:val="26"/>
          <w:szCs w:val="26"/>
        </w:rPr>
        <w:t xml:space="preserve"> годов</w:t>
      </w:r>
      <w:r w:rsidR="00CC741F" w:rsidRPr="00F96E8D">
        <w:rPr>
          <w:rFonts w:ascii="Times New Roman" w:hAnsi="Times New Roman" w:cs="Times New Roman"/>
          <w:spacing w:val="4"/>
          <w:sz w:val="26"/>
          <w:szCs w:val="26"/>
        </w:rPr>
        <w:t>»</w:t>
      </w:r>
      <w:r w:rsidRPr="00F96E8D">
        <w:rPr>
          <w:rFonts w:ascii="Times New Roman" w:hAnsi="Times New Roman" w:cs="Times New Roman"/>
          <w:spacing w:val="4"/>
          <w:sz w:val="26"/>
          <w:szCs w:val="26"/>
        </w:rPr>
        <w:t xml:space="preserve">, </w:t>
      </w:r>
    </w:p>
    <w:p w:rsidR="004D2608" w:rsidRPr="00F96E8D" w:rsidRDefault="004D2608" w:rsidP="004D2608">
      <w:pPr>
        <w:pStyle w:val="2"/>
        <w:spacing w:after="0" w:line="240" w:lineRule="auto"/>
        <w:ind w:right="245" w:firstLine="567"/>
        <w:jc w:val="both"/>
        <w:rPr>
          <w:sz w:val="26"/>
          <w:szCs w:val="26"/>
        </w:rPr>
      </w:pPr>
    </w:p>
    <w:p w:rsidR="004D2608" w:rsidRPr="00F96E8D" w:rsidRDefault="004D2608" w:rsidP="004D2608">
      <w:pPr>
        <w:spacing w:after="0" w:line="240" w:lineRule="auto"/>
        <w:jc w:val="both"/>
        <w:rPr>
          <w:rFonts w:ascii="Times New Roman" w:hAnsi="Times New Roman" w:cs="Times New Roman"/>
          <w:b/>
          <w:sz w:val="26"/>
          <w:szCs w:val="26"/>
        </w:rPr>
      </w:pPr>
      <w:r w:rsidRPr="00F96E8D">
        <w:rPr>
          <w:rFonts w:ascii="Times New Roman" w:hAnsi="Times New Roman" w:cs="Times New Roman"/>
          <w:b/>
          <w:sz w:val="26"/>
          <w:szCs w:val="26"/>
        </w:rPr>
        <w:t>ПОСТАНОВЛЯЮ:</w:t>
      </w:r>
    </w:p>
    <w:p w:rsidR="004D2608" w:rsidRPr="00F96E8D" w:rsidRDefault="004D2608" w:rsidP="004D2608">
      <w:pPr>
        <w:spacing w:after="0" w:line="240" w:lineRule="auto"/>
        <w:jc w:val="both"/>
        <w:rPr>
          <w:rFonts w:ascii="Times New Roman" w:hAnsi="Times New Roman" w:cs="Times New Roman"/>
          <w:b/>
          <w:sz w:val="26"/>
          <w:szCs w:val="26"/>
        </w:rPr>
      </w:pPr>
    </w:p>
    <w:p w:rsidR="004D2608" w:rsidRPr="00F96E8D" w:rsidRDefault="004D2608" w:rsidP="004D2608">
      <w:pPr>
        <w:keepNext/>
        <w:spacing w:after="0" w:line="240" w:lineRule="auto"/>
        <w:ind w:right="-2"/>
        <w:jc w:val="both"/>
        <w:rPr>
          <w:rFonts w:ascii="Times New Roman" w:hAnsi="Times New Roman" w:cs="Times New Roman"/>
          <w:sz w:val="26"/>
          <w:szCs w:val="26"/>
        </w:rPr>
      </w:pPr>
      <w:r w:rsidRPr="00F96E8D">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sidRPr="00F96E8D">
        <w:rPr>
          <w:rFonts w:ascii="Times New Roman" w:hAnsi="Times New Roman" w:cs="Times New Roman"/>
          <w:sz w:val="26"/>
          <w:szCs w:val="26"/>
        </w:rPr>
        <w:t xml:space="preserve">года </w:t>
      </w:r>
      <w:r w:rsidRPr="00F96E8D">
        <w:rPr>
          <w:rFonts w:ascii="Times New Roman" w:hAnsi="Times New Roman" w:cs="Times New Roman"/>
          <w:sz w:val="26"/>
          <w:szCs w:val="26"/>
        </w:rPr>
        <w:t xml:space="preserve">№ 396 </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Об утверждении муниципальной программы</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Эффективное управление муниципальными финансами Томского района</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F96E8D" w:rsidRDefault="004D2608" w:rsidP="004D2608">
      <w:pPr>
        <w:spacing w:after="0" w:line="240" w:lineRule="auto"/>
        <w:jc w:val="both"/>
        <w:rPr>
          <w:rFonts w:ascii="Times New Roman" w:hAnsi="Times New Roman" w:cs="Times New Roman"/>
          <w:sz w:val="26"/>
          <w:szCs w:val="26"/>
        </w:rPr>
      </w:pPr>
      <w:r w:rsidRPr="00F96E8D">
        <w:rPr>
          <w:rFonts w:ascii="Times New Roman" w:hAnsi="Times New Roman" w:cs="Times New Roman"/>
          <w:sz w:val="26"/>
          <w:szCs w:val="26"/>
        </w:rPr>
        <w:tab/>
        <w:t>2. Управлению Делами Администрации Томского района обеспечить о</w:t>
      </w:r>
      <w:r w:rsidR="00D74CEA" w:rsidRPr="00F96E8D">
        <w:rPr>
          <w:rFonts w:ascii="Times New Roman" w:hAnsi="Times New Roman" w:cs="Times New Roman"/>
          <w:sz w:val="26"/>
          <w:szCs w:val="26"/>
        </w:rPr>
        <w:t>бнародование</w:t>
      </w:r>
      <w:r w:rsidRPr="00F96E8D">
        <w:rPr>
          <w:rFonts w:ascii="Times New Roman" w:hAnsi="Times New Roman" w:cs="Times New Roman"/>
          <w:sz w:val="26"/>
          <w:szCs w:val="26"/>
        </w:rPr>
        <w:t xml:space="preserve"> настоящего постановления в газете</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Томское предместье</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 xml:space="preserve"> и размещение на сайте в информационно-телекоммуникационной сети</w:t>
      </w:r>
      <w:r w:rsidR="00CC741F" w:rsidRPr="00F96E8D">
        <w:rPr>
          <w:rFonts w:ascii="Times New Roman" w:hAnsi="Times New Roman" w:cs="Times New Roman"/>
          <w:sz w:val="26"/>
          <w:szCs w:val="26"/>
        </w:rPr>
        <w:t xml:space="preserve"> «</w:t>
      </w:r>
      <w:r w:rsidRPr="00F96E8D">
        <w:rPr>
          <w:rFonts w:ascii="Times New Roman" w:hAnsi="Times New Roman" w:cs="Times New Roman"/>
          <w:sz w:val="26"/>
          <w:szCs w:val="26"/>
        </w:rPr>
        <w:t>Интернет</w:t>
      </w:r>
      <w:r w:rsidR="00CC741F" w:rsidRPr="00F96E8D">
        <w:rPr>
          <w:rFonts w:ascii="Times New Roman" w:hAnsi="Times New Roman" w:cs="Times New Roman"/>
          <w:sz w:val="26"/>
          <w:szCs w:val="26"/>
        </w:rPr>
        <w:t>»</w:t>
      </w:r>
      <w:r w:rsidRPr="00F96E8D">
        <w:rPr>
          <w:rFonts w:ascii="Times New Roman" w:hAnsi="Times New Roman" w:cs="Times New Roman"/>
          <w:sz w:val="26"/>
          <w:szCs w:val="26"/>
        </w:rPr>
        <w:t>.</w:t>
      </w:r>
    </w:p>
    <w:p w:rsidR="004D2608" w:rsidRPr="00F96E8D" w:rsidRDefault="004D2608" w:rsidP="004D2608">
      <w:pPr>
        <w:pStyle w:val="a4"/>
        <w:tabs>
          <w:tab w:val="left" w:pos="600"/>
        </w:tabs>
        <w:jc w:val="both"/>
        <w:rPr>
          <w:b w:val="0"/>
          <w:sz w:val="26"/>
          <w:szCs w:val="26"/>
        </w:rPr>
      </w:pPr>
    </w:p>
    <w:p w:rsidR="004D2608" w:rsidRPr="00F96E8D" w:rsidRDefault="004D2608" w:rsidP="004D2608">
      <w:pPr>
        <w:pStyle w:val="a4"/>
        <w:tabs>
          <w:tab w:val="left" w:pos="600"/>
        </w:tabs>
        <w:jc w:val="both"/>
        <w:rPr>
          <w:b w:val="0"/>
          <w:sz w:val="26"/>
          <w:szCs w:val="26"/>
        </w:rPr>
      </w:pPr>
    </w:p>
    <w:p w:rsidR="004D2608" w:rsidRPr="00F96E8D" w:rsidRDefault="004D2608" w:rsidP="00F96E8D">
      <w:pPr>
        <w:tabs>
          <w:tab w:val="left" w:pos="0"/>
          <w:tab w:val="left" w:pos="7655"/>
        </w:tabs>
        <w:spacing w:after="0" w:line="240" w:lineRule="auto"/>
        <w:rPr>
          <w:rFonts w:ascii="Times New Roman" w:hAnsi="Times New Roman" w:cs="Times New Roman"/>
          <w:sz w:val="26"/>
          <w:szCs w:val="26"/>
        </w:rPr>
      </w:pPr>
    </w:p>
    <w:p w:rsidR="00D74CEA" w:rsidRPr="00F96E8D" w:rsidRDefault="00D74CEA" w:rsidP="004D2608">
      <w:pPr>
        <w:spacing w:after="0" w:line="240" w:lineRule="auto"/>
        <w:rPr>
          <w:rFonts w:ascii="Times New Roman" w:hAnsi="Times New Roman" w:cs="Times New Roman"/>
          <w:sz w:val="26"/>
          <w:szCs w:val="26"/>
        </w:rPr>
      </w:pPr>
      <w:r w:rsidRPr="00F96E8D">
        <w:rPr>
          <w:rFonts w:ascii="Times New Roman" w:hAnsi="Times New Roman" w:cs="Times New Roman"/>
          <w:sz w:val="26"/>
          <w:szCs w:val="26"/>
        </w:rPr>
        <w:t>Временно  исполняющий полномочия</w:t>
      </w:r>
    </w:p>
    <w:p w:rsidR="004D2608" w:rsidRPr="00F96E8D" w:rsidRDefault="00D74CEA" w:rsidP="00F96E8D">
      <w:pPr>
        <w:tabs>
          <w:tab w:val="left" w:pos="8222"/>
        </w:tabs>
        <w:spacing w:after="0" w:line="240" w:lineRule="auto"/>
        <w:rPr>
          <w:rFonts w:ascii="Times New Roman" w:hAnsi="Times New Roman" w:cs="Times New Roman"/>
          <w:sz w:val="26"/>
          <w:szCs w:val="26"/>
        </w:rPr>
      </w:pPr>
      <w:r w:rsidRPr="00F96E8D">
        <w:rPr>
          <w:rFonts w:ascii="Times New Roman" w:hAnsi="Times New Roman" w:cs="Times New Roman"/>
          <w:sz w:val="26"/>
          <w:szCs w:val="26"/>
        </w:rPr>
        <w:t>Главы Томского района</w:t>
      </w:r>
      <w:r w:rsidR="00F96E8D" w:rsidRPr="00F96E8D">
        <w:rPr>
          <w:rFonts w:ascii="Times New Roman" w:hAnsi="Times New Roman" w:cs="Times New Roman"/>
          <w:sz w:val="26"/>
          <w:szCs w:val="26"/>
        </w:rPr>
        <w:tab/>
      </w:r>
      <w:r w:rsidRPr="00F96E8D">
        <w:rPr>
          <w:rFonts w:ascii="Times New Roman" w:hAnsi="Times New Roman" w:cs="Times New Roman"/>
          <w:sz w:val="26"/>
          <w:szCs w:val="26"/>
        </w:rPr>
        <w:t>В.Л. Челокьян</w:t>
      </w:r>
    </w:p>
    <w:p w:rsidR="00121D6A" w:rsidRPr="00F96E8D" w:rsidRDefault="00121D6A" w:rsidP="00121D6A">
      <w:pPr>
        <w:spacing w:after="0" w:line="240" w:lineRule="auto"/>
        <w:jc w:val="right"/>
        <w:rPr>
          <w:rFonts w:ascii="Times New Roman" w:hAnsi="Times New Roman" w:cs="Times New Roman"/>
          <w:sz w:val="28"/>
          <w:szCs w:val="28"/>
        </w:rPr>
      </w:pPr>
    </w:p>
    <w:p w:rsidR="00121D6A" w:rsidRPr="00F96E8D" w:rsidRDefault="00121D6A" w:rsidP="00121D6A">
      <w:pPr>
        <w:spacing w:after="0" w:line="240" w:lineRule="auto"/>
        <w:jc w:val="right"/>
        <w:rPr>
          <w:rFonts w:ascii="Times New Roman" w:hAnsi="Times New Roman" w:cs="Times New Roman"/>
          <w:sz w:val="28"/>
          <w:szCs w:val="28"/>
        </w:rPr>
      </w:pPr>
    </w:p>
    <w:p w:rsidR="000A4B78" w:rsidRPr="00F96E8D" w:rsidRDefault="000A4B78" w:rsidP="00201D48">
      <w:pPr>
        <w:pStyle w:val="ConsPlusTitle"/>
        <w:jc w:val="center"/>
        <w:outlineLvl w:val="1"/>
        <w:rPr>
          <w:rFonts w:ascii="Times New Roman" w:hAnsi="Times New Roman" w:cs="Times New Roman"/>
        </w:rPr>
      </w:pPr>
      <w:r w:rsidRPr="00F96E8D">
        <w:rPr>
          <w:rFonts w:ascii="Times New Roman" w:hAnsi="Times New Roman" w:cs="Times New Roman"/>
        </w:rPr>
        <w:br w:type="page"/>
      </w:r>
    </w:p>
    <w:p w:rsidR="00A40732" w:rsidRPr="00F96E8D" w:rsidRDefault="00A40732" w:rsidP="00201D48">
      <w:pPr>
        <w:pStyle w:val="ConsPlusTitle"/>
        <w:jc w:val="center"/>
        <w:outlineLvl w:val="1"/>
        <w:rPr>
          <w:rFonts w:ascii="Times New Roman" w:hAnsi="Times New Roman" w:cs="Times New Roman"/>
        </w:rPr>
        <w:sectPr w:rsidR="00A40732" w:rsidRPr="00F96E8D" w:rsidSect="005F32C0">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p w:rsidR="00892D27" w:rsidRPr="00F96E8D" w:rsidRDefault="00892D27" w:rsidP="00892D27">
      <w:pPr>
        <w:widowControl w:val="0"/>
        <w:autoSpaceDE w:val="0"/>
        <w:autoSpaceDN w:val="0"/>
        <w:adjustRightInd w:val="0"/>
        <w:spacing w:after="0" w:line="240" w:lineRule="auto"/>
        <w:rPr>
          <w:rFonts w:ascii="Arial" w:eastAsia="Times New Roman" w:hAnsi="Arial" w:cs="Arial"/>
          <w:sz w:val="24"/>
          <w:szCs w:val="24"/>
        </w:rPr>
      </w:pPr>
    </w:p>
    <w:tbl>
      <w:tblPr>
        <w:tblW w:w="15632"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F96E8D" w:rsidRPr="00F96E8D" w:rsidTr="00F96E8D">
        <w:trPr>
          <w:trHeight w:val="604"/>
        </w:trPr>
        <w:tc>
          <w:tcPr>
            <w:tcW w:w="10614" w:type="dxa"/>
            <w:gridSpan w:val="7"/>
            <w:tcMar>
              <w:top w:w="0" w:type="dxa"/>
              <w:left w:w="0" w:type="dxa"/>
              <w:bottom w:w="0" w:type="dxa"/>
              <w:right w:w="0" w:type="dxa"/>
            </w:tcMar>
            <w:vAlign w:val="center"/>
          </w:tcPr>
          <w:p w:rsidR="00892D27" w:rsidRPr="00F96E8D"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F96E8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Приложение к Постановлению</w:t>
            </w:r>
          </w:p>
          <w:p w:rsidR="00892D27" w:rsidRPr="00F96E8D"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Администрации Томского района</w:t>
            </w:r>
          </w:p>
          <w:p w:rsidR="00892D27" w:rsidRPr="00F96E8D" w:rsidRDefault="00892D27" w:rsidP="00F96E8D">
            <w:pPr>
              <w:widowControl w:val="0"/>
              <w:autoSpaceDE w:val="0"/>
              <w:autoSpaceDN w:val="0"/>
              <w:adjustRightInd w:val="0"/>
              <w:spacing w:after="0" w:line="240" w:lineRule="auto"/>
              <w:jc w:val="right"/>
              <w:rPr>
                <w:rFonts w:ascii="Arial" w:eastAsia="Times New Roman" w:hAnsi="Arial" w:cs="Arial"/>
                <w:sz w:val="24"/>
                <w:szCs w:val="24"/>
              </w:rPr>
            </w:pPr>
            <w:r w:rsidRPr="00F96E8D">
              <w:rPr>
                <w:rFonts w:ascii="Times New Roman" w:eastAsia="Times New Roman" w:hAnsi="Times New Roman" w:cs="Times New Roman"/>
                <w:sz w:val="20"/>
                <w:szCs w:val="20"/>
              </w:rPr>
              <w:t xml:space="preserve">от </w:t>
            </w:r>
            <w:r w:rsidR="00F96E8D" w:rsidRPr="00F96E8D">
              <w:rPr>
                <w:rFonts w:ascii="Times New Roman" w:eastAsia="Times New Roman" w:hAnsi="Times New Roman" w:cs="Times New Roman"/>
                <w:sz w:val="20"/>
                <w:szCs w:val="20"/>
              </w:rPr>
              <w:t>25.12.</w:t>
            </w:r>
            <w:r w:rsidR="00771F28" w:rsidRPr="00F96E8D">
              <w:rPr>
                <w:rFonts w:ascii="Times New Roman" w:eastAsia="Times New Roman" w:hAnsi="Times New Roman" w:cs="Times New Roman"/>
                <w:sz w:val="20"/>
                <w:szCs w:val="20"/>
              </w:rPr>
              <w:t>2024</w:t>
            </w:r>
            <w:r w:rsidRPr="00F96E8D">
              <w:rPr>
                <w:rFonts w:ascii="Times New Roman" w:eastAsia="Times New Roman" w:hAnsi="Times New Roman" w:cs="Times New Roman"/>
                <w:sz w:val="20"/>
                <w:szCs w:val="20"/>
              </w:rPr>
              <w:t xml:space="preserve"> </w:t>
            </w:r>
            <w:r w:rsidR="00F96E8D" w:rsidRPr="00F96E8D">
              <w:rPr>
                <w:rFonts w:ascii="Times New Roman" w:eastAsia="Times New Roman" w:hAnsi="Times New Roman" w:cs="Times New Roman"/>
                <w:sz w:val="20"/>
                <w:szCs w:val="20"/>
              </w:rPr>
              <w:t>№ 954-П</w:t>
            </w:r>
            <w:r w:rsidR="00771F28" w:rsidRPr="00F96E8D">
              <w:rPr>
                <w:rFonts w:ascii="Times New Roman" w:eastAsia="Times New Roman" w:hAnsi="Times New Roman" w:cs="Times New Roman"/>
                <w:sz w:val="20"/>
                <w:szCs w:val="20"/>
              </w:rPr>
              <w:t xml:space="preserve">  </w:t>
            </w:r>
          </w:p>
        </w:tc>
      </w:tr>
      <w:tr w:rsidR="00892D27" w:rsidRPr="00F96E8D" w:rsidTr="00B84809">
        <w:trPr>
          <w:trHeight w:val="1247"/>
        </w:trPr>
        <w:tc>
          <w:tcPr>
            <w:tcW w:w="15632" w:type="dxa"/>
            <w:gridSpan w:val="11"/>
            <w:tcMar>
              <w:top w:w="0" w:type="dxa"/>
              <w:left w:w="0" w:type="dxa"/>
              <w:bottom w:w="0" w:type="dxa"/>
              <w:right w:w="0" w:type="dxa"/>
            </w:tcMar>
            <w:vAlign w:val="center"/>
          </w:tcPr>
          <w:p w:rsidR="00892D27" w:rsidRPr="00F96E8D"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F96E8D">
              <w:rPr>
                <w:rFonts w:ascii="Times New Roman" w:eastAsia="Times New Roman" w:hAnsi="Times New Roman" w:cs="Times New Roman"/>
                <w:b/>
                <w:bCs/>
              </w:rPr>
              <w:t>ПАСПОРТ</w:t>
            </w:r>
            <w:r w:rsidRPr="00F96E8D">
              <w:rPr>
                <w:rFonts w:ascii="Times New Roman" w:eastAsia="Times New Roman" w:hAnsi="Times New Roman" w:cs="Times New Roman"/>
                <w:b/>
                <w:bCs/>
              </w:rPr>
              <w:br/>
              <w:t>МУНИЦИПАЛЬНОЙ ПРОГРАММЫ</w:t>
            </w:r>
            <w:r w:rsidRPr="00F96E8D">
              <w:rPr>
                <w:rFonts w:ascii="Times New Roman" w:eastAsia="Times New Roman" w:hAnsi="Times New Roman" w:cs="Times New Roman"/>
                <w:b/>
                <w:bCs/>
              </w:rPr>
              <w:br/>
              <w:t>ЭФФЕКТИВНОЕ УПРАВЛЕНИЕ МУНИЦИПАЛЬНЫМИ ФИНАНСАМИ ТОМСКОГО РАЙОНА</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ЭФФЕКТИВНОЕ УПРАВЛЕНИЕ МУНИЦИПАЛЬНЫМИ ФИНАНСАМИ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F96E8D">
              <w:rPr>
                <w:rFonts w:ascii="Times New Roman" w:hAnsi="Times New Roman" w:cs="Times New Roman"/>
                <w:sz w:val="20"/>
                <w:szCs w:val="20"/>
              </w:rPr>
              <w:br/>
              <w:t xml:space="preserve"> </w:t>
            </w:r>
          </w:p>
        </w:tc>
      </w:tr>
      <w:tr w:rsidR="00B84809" w:rsidRPr="00F96E8D" w:rsidTr="00B8480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ЭФФЕКТИВНОЕ УПРАВЛЕНИЕ МУНИЦИПАЛЬНЫМИ ФИНАНСАМИ ТОМСКОГО РАЙОНА, ОБЕСПЕЧЕНИЕ ДОЛГОСРОЧНОЙ СБАЛАНСИРОВАННОСТИ И УСТОЙЧИВОСТИ БЮДЖЕТА</w:t>
            </w:r>
            <w:r w:rsidRPr="00F96E8D">
              <w:rPr>
                <w:rFonts w:ascii="Times New Roman" w:hAnsi="Times New Roman" w:cs="Times New Roman"/>
                <w:sz w:val="20"/>
                <w:szCs w:val="20"/>
              </w:rPr>
              <w:br/>
              <w:t xml:space="preserve"> </w:t>
            </w:r>
          </w:p>
        </w:tc>
      </w:tr>
      <w:tr w:rsidR="00B84809" w:rsidRPr="00F96E8D" w:rsidTr="00B8480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w:t>
            </w:r>
            <w:r w:rsidRPr="00F96E8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w:t>
            </w:r>
            <w:r w:rsidRPr="00F96E8D">
              <w:rPr>
                <w:rFonts w:ascii="Times New Roman" w:hAnsi="Times New Roman" w:cs="Times New Roman"/>
                <w:sz w:val="20"/>
                <w:szCs w:val="20"/>
              </w:rPr>
              <w:br/>
              <w:t>(прогноз)</w:t>
            </w:r>
          </w:p>
        </w:tc>
      </w:tr>
      <w:tr w:rsidR="00B84809" w:rsidRPr="00F96E8D" w:rsidTr="00B8480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2.0</w:t>
            </w:r>
          </w:p>
        </w:tc>
      </w:tr>
      <w:tr w:rsidR="00B84809" w:rsidRPr="00F96E8D" w:rsidTr="00B8480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1. СОВЕРШЕНСТВОВАНИЕ МЕХАНИЗМА МЕЖБЮДЖЕТНЫХ ОТНОШЕНИЙ В ТОМСКОМ РАЙОНЕ;</w:t>
            </w:r>
            <w:r w:rsidRPr="00F96E8D">
              <w:rPr>
                <w:rFonts w:ascii="Times New Roman" w:hAnsi="Times New Roman" w:cs="Times New Roman"/>
                <w:sz w:val="20"/>
                <w:szCs w:val="20"/>
              </w:rPr>
              <w:br/>
              <w:t>2. ОБЕСПЕЧЕНИЕ ТЕХНИЧЕСКОЙ И ИНФОРМАЦИОННОЙ ПОДДЕРЖКИ ПРОЦЕССА УПРАВЛЕНИЯ ФИНАНСАМИ</w:t>
            </w:r>
          </w:p>
        </w:tc>
      </w:tr>
      <w:tr w:rsidR="00B84809" w:rsidRPr="00F96E8D" w:rsidTr="00B8480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w:t>
            </w:r>
            <w:r w:rsidRPr="00F96E8D">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w:t>
            </w:r>
            <w:r w:rsidRPr="00F96E8D">
              <w:rPr>
                <w:rFonts w:ascii="Times New Roman" w:hAnsi="Times New Roman" w:cs="Times New Roman"/>
                <w:sz w:val="20"/>
                <w:szCs w:val="20"/>
              </w:rPr>
              <w:br/>
              <w:t>(прогноз)</w:t>
            </w:r>
          </w:p>
        </w:tc>
      </w:tr>
      <w:tr w:rsidR="00B84809" w:rsidRPr="00F96E8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Задача 1 Совершенствование механизма межбюджетных отношений в Томском районе</w:t>
            </w:r>
          </w:p>
        </w:tc>
      </w:tr>
      <w:tr w:rsidR="00B84809" w:rsidRPr="00F96E8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r>
      <w:tr w:rsidR="00B84809" w:rsidRPr="00F96E8D" w:rsidTr="00B8480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B84809" w:rsidRPr="00F96E8D" w:rsidTr="00B8480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xml:space="preserve">  100.0</w:t>
            </w:r>
          </w:p>
        </w:tc>
      </w:tr>
      <w:tr w:rsidR="00B84809" w:rsidRPr="00F96E8D" w:rsidTr="00B8480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1. СОВЕРШЕНСТВОВАНИЕ МЕЖБЮДЖЕТНЫХ ОТНОШЕНИЙ В ТОМСКОМ РАЙОНЕ;</w:t>
            </w:r>
            <w:r w:rsidRPr="00F96E8D">
              <w:rPr>
                <w:rFonts w:ascii="Times New Roman" w:hAnsi="Times New Roman" w:cs="Times New Roman"/>
                <w:sz w:val="20"/>
                <w:szCs w:val="20"/>
              </w:rPr>
              <w:br/>
              <w:t>2. ОБЕСПЕЧЕНИЕ УПРАВЛЕНИЯ МУНИЦИПАЛЬНЫМИ ФИНАНСАМИ</w:t>
            </w:r>
          </w:p>
        </w:tc>
      </w:tr>
      <w:tr w:rsidR="00B84809" w:rsidRPr="00F96E8D" w:rsidTr="00B8480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нет</w:t>
            </w:r>
          </w:p>
        </w:tc>
      </w:tr>
      <w:tr w:rsidR="00B84809" w:rsidRPr="00F96E8D" w:rsidTr="00B8480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2021 – 2025 годы и прогнозные 2026 и 2027 года</w:t>
            </w:r>
          </w:p>
        </w:tc>
      </w:tr>
      <w:tr w:rsidR="00B84809" w:rsidRPr="00F96E8D" w:rsidTr="00B8480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2026</w:t>
            </w:r>
            <w:r w:rsidRPr="00F96E8D">
              <w:rPr>
                <w:rFonts w:ascii="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2027</w:t>
            </w:r>
            <w:r w:rsidRPr="00F96E8D">
              <w:rPr>
                <w:rFonts w:ascii="Times New Roman" w:hAnsi="Times New Roman" w:cs="Times New Roman"/>
                <w:b/>
                <w:bCs/>
                <w:sz w:val="20"/>
                <w:szCs w:val="20"/>
              </w:rPr>
              <w:br/>
              <w:t>(прогноз)</w:t>
            </w:r>
          </w:p>
        </w:tc>
      </w:tr>
      <w:tr w:rsidR="00B84809" w:rsidRPr="00F96E8D" w:rsidTr="00B8480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56 821.4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10 130.2</w:t>
            </w:r>
          </w:p>
        </w:tc>
      </w:tr>
      <w:tr w:rsidR="00B84809" w:rsidRPr="00F96E8D" w:rsidTr="00B8480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807 050.4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120 013.2</w:t>
            </w:r>
          </w:p>
        </w:tc>
      </w:tr>
      <w:tr w:rsidR="00B84809" w:rsidRPr="00F96E8D" w:rsidTr="00B8480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289 407.6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55 112.2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55 505.9</w:t>
            </w:r>
          </w:p>
        </w:tc>
      </w:tr>
      <w:tr w:rsidR="00B84809" w:rsidRPr="00F96E8D" w:rsidTr="00B8480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26 034.4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r>
      <w:tr w:rsidR="00B84809" w:rsidRPr="00F96E8D" w:rsidTr="00B8480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4 640.7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0.0</w:t>
            </w:r>
          </w:p>
        </w:tc>
      </w:tr>
      <w:tr w:rsidR="00B84809" w:rsidRPr="00F96E8D" w:rsidTr="00B8480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1 183 954.4</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201 280.5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84809" w:rsidRPr="00F96E8D" w:rsidRDefault="00B84809" w:rsidP="00BB27BE">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 xml:space="preserve">  185 649.3</w:t>
            </w:r>
          </w:p>
        </w:tc>
      </w:tr>
    </w:tbl>
    <w:p w:rsidR="00EF3BE1" w:rsidRPr="00F96E8D" w:rsidRDefault="00870964" w:rsidP="00E217B4">
      <w:pPr>
        <w:pStyle w:val="ConsPlusTitle"/>
        <w:jc w:val="center"/>
        <w:outlineLvl w:val="1"/>
        <w:rPr>
          <w:rFonts w:ascii="Times New Roman" w:hAnsi="Times New Roman" w:cs="Times New Roman"/>
        </w:rPr>
        <w:sectPr w:rsidR="00EF3BE1" w:rsidRPr="00F96E8D" w:rsidSect="000A4B78">
          <w:headerReference w:type="default" r:id="rId13"/>
          <w:footerReference w:type="first" r:id="rId14"/>
          <w:pgSz w:w="16838" w:h="11905" w:orient="landscape" w:code="9"/>
          <w:pgMar w:top="851" w:right="1134" w:bottom="426" w:left="851" w:header="425" w:footer="397" w:gutter="0"/>
          <w:pgNumType w:start="1"/>
          <w:cols w:space="720"/>
          <w:noEndnote/>
          <w:titlePg/>
          <w:docGrid w:linePitch="299"/>
        </w:sectPr>
      </w:pPr>
      <w:r w:rsidRPr="00F96E8D">
        <w:rPr>
          <w:rFonts w:ascii="Times New Roman" w:hAnsi="Times New Roman" w:cs="Times New Roman"/>
        </w:rPr>
        <w:br w:type="page"/>
      </w:r>
    </w:p>
    <w:p w:rsidR="00B570ED" w:rsidRPr="00F96E8D"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lastRenderedPageBreak/>
        <w:t>1. Характеристика текущего состояния</w:t>
      </w:r>
    </w:p>
    <w:p w:rsidR="00B570ED" w:rsidRPr="00F96E8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сферы реализации муниципальной программы</w:t>
      </w:r>
    </w:p>
    <w:p w:rsidR="00B570ED" w:rsidRPr="00F96E8D"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переход на среднесрочное бюджетное планирование;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контроль целевого использования бюджетных средств;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создать механизм эффективного управления единым счетом бюджета;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Однако до настоящего времени: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муниципальный район - сельские поселения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F96E8D">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Эффективное управление муниципальными финансами Томского района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финансирования муниципальной программы</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Эффективное управление муниципальными финансами Томского района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F96E8D">
        <w:rPr>
          <w:rFonts w:ascii="Times New Roman" w:eastAsia="Times New Roman" w:hAnsi="Times New Roman" w:cs="Times New Roman"/>
          <w:szCs w:val="20"/>
        </w:rPr>
        <w:t>ой бюджетной росписи.</w:t>
      </w:r>
    </w:p>
    <w:p w:rsidR="00B570ED" w:rsidRPr="00F96E8D"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t>2. Цель и задачи муниципальной программы,</w:t>
      </w:r>
    </w:p>
    <w:p w:rsidR="00B570ED" w:rsidRPr="00F96E8D"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показатели цели и задач муниципальной программы</w:t>
      </w:r>
    </w:p>
    <w:p w:rsidR="00B570ED" w:rsidRPr="00F96E8D"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F96E8D">
        <w:rPr>
          <w:rFonts w:ascii="Times New Roman" w:eastAsia="Times New Roman" w:hAnsi="Times New Roman" w:cs="Times New Roman"/>
          <w:szCs w:val="20"/>
        </w:rPr>
        <w:tab/>
      </w: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достижения цели необходимо решить следующие задачи: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F96E8D" w:rsidRDefault="00B570ED" w:rsidP="00B570ED">
      <w:pPr>
        <w:widowControl w:val="0"/>
        <w:autoSpaceDE w:val="0"/>
        <w:autoSpaceDN w:val="0"/>
        <w:spacing w:before="220" w:after="0" w:line="240" w:lineRule="auto"/>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0A4B78" w:rsidRPr="00F96E8D" w:rsidRDefault="000A4B78" w:rsidP="00EF5694">
      <w:pPr>
        <w:pStyle w:val="ConsPlusTitle"/>
        <w:jc w:val="center"/>
        <w:outlineLvl w:val="2"/>
        <w:rPr>
          <w:rFonts w:ascii="Times New Roman" w:hAnsi="Times New Roman" w:cs="Times New Roman"/>
        </w:rPr>
      </w:pPr>
      <w:r w:rsidRPr="00F96E8D">
        <w:rPr>
          <w:rFonts w:ascii="Times New Roman" w:hAnsi="Times New Roman" w:cs="Times New Roman"/>
        </w:rPr>
        <w:br w:type="page"/>
      </w:r>
    </w:p>
    <w:p w:rsidR="00860206" w:rsidRPr="00F96E8D" w:rsidRDefault="00860206" w:rsidP="00EF5694">
      <w:pPr>
        <w:pStyle w:val="ConsPlusTitle"/>
        <w:jc w:val="center"/>
        <w:outlineLvl w:val="2"/>
        <w:rPr>
          <w:rFonts w:ascii="Times New Roman" w:hAnsi="Times New Roman" w:cs="Times New Roman"/>
        </w:rPr>
        <w:sectPr w:rsidR="00860206" w:rsidRPr="00F96E8D" w:rsidSect="000A4B78">
          <w:headerReference w:type="first" r:id="rId15"/>
          <w:pgSz w:w="11905" w:h="16838" w:code="9"/>
          <w:pgMar w:top="1134" w:right="567" w:bottom="851" w:left="1418" w:header="425" w:footer="397" w:gutter="0"/>
          <w:cols w:space="720"/>
          <w:noEndnote/>
          <w:docGrid w:linePitch="299"/>
        </w:sectPr>
      </w:pPr>
    </w:p>
    <w:p w:rsidR="00EF5694" w:rsidRPr="00F96E8D" w:rsidRDefault="00EF5694" w:rsidP="00EF5694">
      <w:pPr>
        <w:pStyle w:val="ConsPlusTitle"/>
        <w:jc w:val="center"/>
        <w:outlineLvl w:val="2"/>
        <w:rPr>
          <w:rFonts w:ascii="Times New Roman" w:hAnsi="Times New Roman" w:cs="Times New Roman"/>
        </w:rPr>
      </w:pPr>
      <w:r w:rsidRPr="00F96E8D">
        <w:rPr>
          <w:rFonts w:ascii="Times New Roman" w:hAnsi="Times New Roman" w:cs="Times New Roman"/>
        </w:rPr>
        <w:lastRenderedPageBreak/>
        <w:t>Перечень показателей цели и задач муниципальной программы</w:t>
      </w:r>
    </w:p>
    <w:p w:rsidR="00EF5694" w:rsidRPr="00F96E8D" w:rsidRDefault="00EF5694" w:rsidP="00EF5694">
      <w:pPr>
        <w:pStyle w:val="ConsPlusTitle"/>
        <w:jc w:val="center"/>
        <w:rPr>
          <w:rFonts w:ascii="Times New Roman" w:hAnsi="Times New Roman" w:cs="Times New Roman"/>
        </w:rPr>
      </w:pPr>
      <w:r w:rsidRPr="00F96E8D">
        <w:rPr>
          <w:rFonts w:ascii="Times New Roman" w:hAnsi="Times New Roman" w:cs="Times New Roman"/>
        </w:rPr>
        <w:t>и сведения о порядке сбора информации по показателям</w:t>
      </w:r>
    </w:p>
    <w:p w:rsidR="00EF5694" w:rsidRPr="00F96E8D" w:rsidRDefault="00EF5694" w:rsidP="00EF5694">
      <w:pPr>
        <w:pStyle w:val="ConsPlusTitle"/>
        <w:jc w:val="center"/>
        <w:rPr>
          <w:rFonts w:ascii="Times New Roman" w:hAnsi="Times New Roman" w:cs="Times New Roman"/>
        </w:rPr>
      </w:pPr>
      <w:r w:rsidRPr="00F96E8D">
        <w:rPr>
          <w:rFonts w:ascii="Times New Roman" w:hAnsi="Times New Roman" w:cs="Times New Roman"/>
        </w:rPr>
        <w:t>и методике их расчета</w:t>
      </w:r>
    </w:p>
    <w:p w:rsidR="00E750F8" w:rsidRPr="00F96E8D" w:rsidRDefault="00E750F8" w:rsidP="00EF5694">
      <w:pPr>
        <w:pStyle w:val="ConsPlusTitle"/>
        <w:jc w:val="center"/>
        <w:rPr>
          <w:rFonts w:ascii="Times New Roman" w:hAnsi="Times New Roman" w:cs="Times New Roman"/>
          <w:lang w:val="en-US"/>
        </w:rPr>
      </w:pPr>
    </w:p>
    <w:tbl>
      <w:tblPr>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5C20F6" w:rsidRPr="00F96E8D" w:rsidTr="005C20F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Times New Roman" w:hAnsi="Times New Roman" w:cs="Times New Roman"/>
                <w:b/>
                <w:bCs/>
                <w:sz w:val="20"/>
                <w:szCs w:val="20"/>
              </w:rPr>
            </w:pPr>
            <w:r w:rsidRPr="00F96E8D">
              <w:rPr>
                <w:rFonts w:ascii="Times New Roman" w:hAnsi="Times New Roman" w:cs="Times New Roman"/>
                <w:b/>
                <w:bCs/>
                <w:sz w:val="20"/>
                <w:szCs w:val="20"/>
              </w:rPr>
              <w:t>N</w:t>
            </w:r>
          </w:p>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Ответственный за сбор данных по показателю</w:t>
            </w:r>
          </w:p>
        </w:tc>
      </w:tr>
      <w:tr w:rsidR="005C20F6" w:rsidRPr="00F96E8D" w:rsidTr="005C20F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8</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 xml:space="preserve">Показатели </w:t>
            </w:r>
            <w:r w:rsidR="003E60CE" w:rsidRPr="00F96E8D">
              <w:rPr>
                <w:rFonts w:ascii="Times New Roman" w:hAnsi="Times New Roman" w:cs="Times New Roman"/>
                <w:b/>
                <w:bCs/>
                <w:sz w:val="20"/>
                <w:szCs w:val="20"/>
              </w:rPr>
              <w:t xml:space="preserve">цели муниципальной программы - </w:t>
            </w:r>
            <w:r w:rsidRPr="00F96E8D">
              <w:rPr>
                <w:rFonts w:ascii="Times New Roman" w:hAnsi="Times New Roman" w:cs="Times New Roman"/>
                <w:b/>
                <w:bCs/>
                <w:sz w:val="20"/>
                <w:szCs w:val="20"/>
              </w:rPr>
              <w:t>Эффективное управление муниципальными финансами Томского района, обеспечение долгосрочной сбалансиро</w:t>
            </w:r>
            <w:r w:rsidR="003E60CE" w:rsidRPr="00F96E8D">
              <w:rPr>
                <w:rFonts w:ascii="Times New Roman" w:hAnsi="Times New Roman" w:cs="Times New Roman"/>
                <w:b/>
                <w:bCs/>
                <w:sz w:val="20"/>
                <w:szCs w:val="20"/>
              </w:rPr>
              <w:t>ванности и устойчивости бюджета</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Данные рейтинга муниципальных образований Томской области, размещенные на официальном сайте Департам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Показатели зада</w:t>
            </w:r>
            <w:r w:rsidR="003E60CE" w:rsidRPr="00F96E8D">
              <w:rPr>
                <w:rFonts w:ascii="Times New Roman" w:hAnsi="Times New Roman" w:cs="Times New Roman"/>
                <w:b/>
                <w:bCs/>
                <w:sz w:val="20"/>
                <w:szCs w:val="20"/>
              </w:rPr>
              <w:t xml:space="preserve">чи 1 муниципальной программы - </w:t>
            </w:r>
            <w:r w:rsidRPr="00F96E8D">
              <w:rPr>
                <w:rFonts w:ascii="Times New Roman" w:hAnsi="Times New Roman" w:cs="Times New Roman"/>
                <w:b/>
                <w:bCs/>
                <w:sz w:val="20"/>
                <w:szCs w:val="20"/>
              </w:rPr>
              <w:t>Совершенствование механизма межбюдже</w:t>
            </w:r>
            <w:r w:rsidR="003E60CE" w:rsidRPr="00F96E8D">
              <w:rPr>
                <w:rFonts w:ascii="Times New Roman" w:hAnsi="Times New Roman" w:cs="Times New Roman"/>
                <w:b/>
                <w:bCs/>
                <w:sz w:val="20"/>
                <w:szCs w:val="20"/>
              </w:rPr>
              <w:t>тных отношений в Томском районе</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Дмбу = Рмбу / Рмб x 100%, где:</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5C20F6" w:rsidRPr="00F96E8D"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Рмб - ассигнования, выделяемые в виде финансовой помощи местным бюджетам</w:t>
            </w:r>
          </w:p>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5C20F6" w:rsidRPr="00F96E8D"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b/>
                <w:bCs/>
                <w:sz w:val="20"/>
                <w:szCs w:val="20"/>
              </w:rPr>
              <w:t>Показатели зада</w:t>
            </w:r>
            <w:r w:rsidR="003E60CE" w:rsidRPr="00F96E8D">
              <w:rPr>
                <w:rFonts w:ascii="Times New Roman" w:hAnsi="Times New Roman" w:cs="Times New Roman"/>
                <w:b/>
                <w:bCs/>
                <w:sz w:val="20"/>
                <w:szCs w:val="20"/>
              </w:rPr>
              <w:t xml:space="preserve">чи 2 муниципальной программы - </w:t>
            </w:r>
            <w:r w:rsidRPr="00F96E8D">
              <w:rPr>
                <w:rFonts w:ascii="Times New Roman" w:hAnsi="Times New Roman" w:cs="Times New Roman"/>
                <w:b/>
                <w:bCs/>
                <w:sz w:val="20"/>
                <w:szCs w:val="20"/>
              </w:rPr>
              <w:t xml:space="preserve">Обеспечение технической и информационной поддержки процесса </w:t>
            </w:r>
            <w:r w:rsidR="003E60CE" w:rsidRPr="00F96E8D">
              <w:rPr>
                <w:rFonts w:ascii="Times New Roman" w:hAnsi="Times New Roman" w:cs="Times New Roman"/>
                <w:b/>
                <w:bCs/>
                <w:sz w:val="20"/>
                <w:szCs w:val="20"/>
              </w:rPr>
              <w:t>управления финансами</w:t>
            </w:r>
          </w:p>
        </w:tc>
      </w:tr>
      <w:tr w:rsidR="005C20F6" w:rsidRPr="00F96E8D"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F96E8D" w:rsidRDefault="005C20F6"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Показатель считается равным 100% при выполнении показателей задач</w:t>
            </w:r>
            <w:r w:rsidRPr="00F96E8D">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F96E8D" w:rsidRDefault="005C20F6" w:rsidP="005C20F6">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bl>
    <w:p w:rsidR="00860206" w:rsidRPr="00F96E8D"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F96E8D"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96E8D">
        <w:rPr>
          <w:rFonts w:ascii="Arial" w:eastAsia="Times New Roman" w:hAnsi="Arial" w:cs="Arial"/>
          <w:sz w:val="2"/>
          <w:szCs w:val="2"/>
        </w:rPr>
        <w:br/>
      </w:r>
      <w:r w:rsidRPr="00F96E8D">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27"/>
        <w:gridCol w:w="127"/>
      </w:tblGrid>
      <w:tr w:rsidR="00860206" w:rsidRPr="00F96E8D" w:rsidTr="00D34867">
        <w:trPr>
          <w:trHeight w:val="270"/>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 xml:space="preserve">РЕСУРСНОЕ ОБЕСПЕЧЕНИЕ </w:t>
            </w:r>
          </w:p>
        </w:tc>
      </w:tr>
      <w:tr w:rsidR="00860206" w:rsidRPr="00F96E8D" w:rsidTr="00D34867">
        <w:trPr>
          <w:trHeight w:val="95"/>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МУНИЦИПАЛЬНОЙ ПРОГРАММЫ</w:t>
            </w:r>
          </w:p>
        </w:tc>
      </w:tr>
      <w:tr w:rsidR="00860206" w:rsidRPr="00F96E8D" w:rsidTr="00D34867">
        <w:trPr>
          <w:trHeight w:val="843"/>
        </w:trPr>
        <w:tc>
          <w:tcPr>
            <w:tcW w:w="15601" w:type="dxa"/>
            <w:gridSpan w:val="11"/>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ЭФФЕКТИВНОЕ УПРАВЛЕНИЕ МУНИЦИПАЛЬНЫМИ ФИНАНСАМИ ТОМСКОГО РАЙОНА</w:t>
            </w:r>
          </w:p>
        </w:tc>
      </w:tr>
      <w:tr w:rsidR="00D34867" w:rsidRPr="00F96E8D" w:rsidTr="00D34867">
        <w:trPr>
          <w:gridAfter w:val="1"/>
          <w:wAfter w:w="127" w:type="dxa"/>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В том числе за счет средств:</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Соисполнитель</w:t>
            </w:r>
          </w:p>
        </w:tc>
      </w:tr>
      <w:tr w:rsidR="00D34867" w:rsidRPr="00F96E8D" w:rsidTr="00D34867">
        <w:trPr>
          <w:gridAfter w:val="1"/>
          <w:wAfter w:w="127" w:type="dxa"/>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внебюджетных источников (по согласованию)</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p>
        </w:tc>
      </w:tr>
      <w:tr w:rsidR="00D34867" w:rsidRPr="00F96E8D"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1</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rPr>
              <w:t xml:space="preserve">Задача муниципальной программы </w:t>
            </w:r>
            <w:r w:rsidR="003E60CE" w:rsidRPr="00F96E8D">
              <w:rPr>
                <w:rFonts w:ascii="Times New Roman" w:hAnsi="Times New Roman" w:cs="Times New Roman"/>
              </w:rPr>
              <w:t xml:space="preserve">1 - </w:t>
            </w:r>
            <w:r w:rsidRPr="00F96E8D">
              <w:rPr>
                <w:rFonts w:ascii="Times New Roman" w:hAnsi="Times New Roman" w:cs="Times New Roman"/>
              </w:rPr>
              <w:t>Совершенствование механизма межбюдже</w:t>
            </w:r>
            <w:r w:rsidR="003E60CE" w:rsidRPr="00F96E8D">
              <w:rPr>
                <w:rFonts w:ascii="Times New Roman" w:hAnsi="Times New Roman" w:cs="Times New Roman"/>
              </w:rPr>
              <w:t>тных отношений в Томском районе</w:t>
            </w:r>
          </w:p>
        </w:tc>
      </w:tr>
      <w:tr w:rsidR="00D34867" w:rsidRPr="00F96E8D"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1 163 849,7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0241F0">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56</w:t>
            </w:r>
            <w:r w:rsidR="000241F0" w:rsidRPr="00F96E8D">
              <w:rPr>
                <w:rFonts w:ascii="Times New Roman" w:hAnsi="Times New Roman" w:cs="Times New Roman"/>
                <w:b/>
                <w:bCs/>
                <w:sz w:val="20"/>
                <w:szCs w:val="20"/>
              </w:rPr>
              <w:t> </w:t>
            </w:r>
            <w:r w:rsidRPr="00F96E8D">
              <w:rPr>
                <w:rFonts w:ascii="Times New Roman" w:hAnsi="Times New Roman" w:cs="Times New Roman"/>
                <w:b/>
                <w:bCs/>
                <w:sz w:val="20"/>
                <w:szCs w:val="20"/>
              </w:rPr>
              <w:t>8</w:t>
            </w:r>
            <w:r w:rsidR="000241F0" w:rsidRPr="00F96E8D">
              <w:rPr>
                <w:rFonts w:ascii="Times New Roman" w:hAnsi="Times New Roman" w:cs="Times New Roman"/>
                <w:b/>
                <w:bCs/>
                <w:sz w:val="20"/>
                <w:szCs w:val="20"/>
              </w:rPr>
              <w:t>21,4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269 302,9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198 163,4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0241F0">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w:t>
            </w:r>
            <w:r w:rsidR="000241F0" w:rsidRPr="00F96E8D">
              <w:rPr>
                <w:rFonts w:ascii="Times New Roman" w:hAnsi="Times New Roman" w:cs="Times New Roman"/>
                <w:sz w:val="20"/>
                <w:szCs w:val="20"/>
              </w:rPr>
              <w:t>51 995,1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0241F0"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rPr>
              <w:t>2</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r w:rsidRPr="00F96E8D">
              <w:rPr>
                <w:rFonts w:ascii="Times New Roman" w:hAnsi="Times New Roman" w:cs="Times New Roman"/>
              </w:rPr>
              <w:t>Зада</w:t>
            </w:r>
            <w:r w:rsidR="003E60CE" w:rsidRPr="00F96E8D">
              <w:rPr>
                <w:rFonts w:ascii="Times New Roman" w:hAnsi="Times New Roman" w:cs="Times New Roman"/>
              </w:rPr>
              <w:t xml:space="preserve">ча муниципальной программы 2 - </w:t>
            </w:r>
            <w:r w:rsidRPr="00F96E8D">
              <w:rPr>
                <w:rFonts w:ascii="Times New Roman" w:hAnsi="Times New Roman" w:cs="Times New Roman"/>
              </w:rPr>
              <w:t>Обеспечение технической и информационной поддержк</w:t>
            </w:r>
            <w:r w:rsidR="003E60CE" w:rsidRPr="00F96E8D">
              <w:rPr>
                <w:rFonts w:ascii="Times New Roman" w:hAnsi="Times New Roman" w:cs="Times New Roman"/>
              </w:rPr>
              <w:t>и процесса управления финансами</w:t>
            </w:r>
          </w:p>
        </w:tc>
      </w:tr>
      <w:tr w:rsidR="00D34867" w:rsidRPr="00F96E8D"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0.0</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701502">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1</w:t>
            </w:r>
            <w:r w:rsidR="00701502" w:rsidRPr="00F96E8D">
              <w:rPr>
                <w:rFonts w:ascii="Times New Roman" w:hAnsi="Times New Roman" w:cs="Times New Roman"/>
                <w:b/>
                <w:bCs/>
                <w:sz w:val="20"/>
                <w:szCs w:val="20"/>
              </w:rPr>
              <w:t> </w:t>
            </w:r>
            <w:r w:rsidRPr="00F96E8D">
              <w:rPr>
                <w:rFonts w:ascii="Times New Roman" w:hAnsi="Times New Roman" w:cs="Times New Roman"/>
                <w:b/>
                <w:bCs/>
                <w:sz w:val="20"/>
                <w:szCs w:val="20"/>
              </w:rPr>
              <w:t>18</w:t>
            </w:r>
            <w:r w:rsidR="00701502" w:rsidRPr="00F96E8D">
              <w:rPr>
                <w:rFonts w:ascii="Times New Roman" w:hAnsi="Times New Roman" w:cs="Times New Roman"/>
                <w:b/>
                <w:bCs/>
                <w:sz w:val="20"/>
                <w:szCs w:val="20"/>
              </w:rPr>
              <w:t>3 954,4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701502">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56</w:t>
            </w:r>
            <w:r w:rsidR="00701502" w:rsidRPr="00F96E8D">
              <w:rPr>
                <w:rFonts w:ascii="Times New Roman" w:hAnsi="Times New Roman" w:cs="Times New Roman"/>
                <w:b/>
                <w:bCs/>
                <w:sz w:val="20"/>
                <w:szCs w:val="20"/>
              </w:rPr>
              <w:t> </w:t>
            </w:r>
            <w:r w:rsidRPr="00F96E8D">
              <w:rPr>
                <w:rFonts w:ascii="Times New Roman" w:hAnsi="Times New Roman" w:cs="Times New Roman"/>
                <w:b/>
                <w:bCs/>
                <w:sz w:val="20"/>
                <w:szCs w:val="20"/>
              </w:rPr>
              <w:t>8</w:t>
            </w:r>
            <w:r w:rsidR="00701502" w:rsidRPr="00F96E8D">
              <w:rPr>
                <w:rFonts w:ascii="Times New Roman" w:hAnsi="Times New Roman" w:cs="Times New Roman"/>
                <w:b/>
                <w:bCs/>
                <w:sz w:val="20"/>
                <w:szCs w:val="20"/>
              </w:rPr>
              <w:t>21,4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289 407,6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26 034,4</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Управление финансов Администрации Томского района</w:t>
            </w: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201 280,5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8 403,8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55 112,2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701502"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10 307,8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F96E8D" w:rsidTr="00D34867">
        <w:trPr>
          <w:gridAfter w:val="1"/>
          <w:wAfter w:w="127" w:type="dxa"/>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center"/>
              <w:rPr>
                <w:rFonts w:ascii="Arial" w:hAnsi="Arial" w:cs="Arial"/>
                <w:sz w:val="24"/>
                <w:szCs w:val="24"/>
              </w:rPr>
            </w:pPr>
            <w:r w:rsidRPr="00F96E8D">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r w:rsidRPr="00F96E8D">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F96E8D" w:rsidRDefault="00D34867" w:rsidP="0011681B">
            <w:pPr>
              <w:widowControl w:val="0"/>
              <w:autoSpaceDE w:val="0"/>
              <w:autoSpaceDN w:val="0"/>
              <w:adjustRightInd w:val="0"/>
              <w:spacing w:after="0" w:line="240" w:lineRule="auto"/>
              <w:jc w:val="right"/>
              <w:rPr>
                <w:rFonts w:ascii="Arial" w:hAnsi="Arial" w:cs="Arial"/>
                <w:sz w:val="24"/>
                <w:szCs w:val="24"/>
              </w:rPr>
            </w:pPr>
          </w:p>
        </w:tc>
      </w:tr>
    </w:tbl>
    <w:p w:rsidR="00D34867" w:rsidRPr="00F96E8D" w:rsidRDefault="00D34867" w:rsidP="00D34867"/>
    <w:p w:rsidR="00860206" w:rsidRPr="00F96E8D"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F96E8D" w:rsidSect="000A4B78">
          <w:pgSz w:w="16838" w:h="11905" w:orient="landscape" w:code="9"/>
          <w:pgMar w:top="1418" w:right="1134" w:bottom="567" w:left="851" w:header="425" w:footer="397" w:gutter="0"/>
          <w:cols w:space="720"/>
          <w:noEndnote/>
          <w:docGrid w:linePitch="299"/>
        </w:sectPr>
      </w:pPr>
    </w:p>
    <w:tbl>
      <w:tblPr>
        <w:tblW w:w="9750" w:type="dxa"/>
        <w:tblInd w:w="29" w:type="dxa"/>
        <w:tblLayout w:type="fixed"/>
        <w:tblLook w:val="0000" w:firstRow="0" w:lastRow="0" w:firstColumn="0" w:lastColumn="0" w:noHBand="0" w:noVBand="0"/>
      </w:tblPr>
      <w:tblGrid>
        <w:gridCol w:w="703"/>
        <w:gridCol w:w="4848"/>
        <w:gridCol w:w="838"/>
        <w:gridCol w:w="1391"/>
        <w:gridCol w:w="1155"/>
        <w:gridCol w:w="815"/>
      </w:tblGrid>
      <w:tr w:rsidR="00860206" w:rsidRPr="00F96E8D" w:rsidTr="00B15498">
        <w:trPr>
          <w:trHeight w:val="270"/>
        </w:trPr>
        <w:tc>
          <w:tcPr>
            <w:tcW w:w="9750" w:type="dxa"/>
            <w:gridSpan w:val="6"/>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F96E8D">
              <w:rPr>
                <w:rFonts w:ascii="Times New Roman" w:eastAsia="Times New Roman" w:hAnsi="Times New Roman" w:cs="Times New Roman"/>
                <w:b/>
                <w:bCs/>
              </w:rPr>
              <w:lastRenderedPageBreak/>
              <w:t xml:space="preserve">РЕСУРСНОЕ ОБЕСПЕЧЕНИЕ РЕАЛИЗАЦИИ МУНИЦИПАЛЬНОЙ ПРОГРАММЫ </w:t>
            </w:r>
          </w:p>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60206" w:rsidRPr="00F96E8D" w:rsidTr="00B15498">
        <w:trPr>
          <w:trHeight w:val="1247"/>
        </w:trPr>
        <w:tc>
          <w:tcPr>
            <w:tcW w:w="9750" w:type="dxa"/>
            <w:gridSpan w:val="6"/>
            <w:tcMar>
              <w:top w:w="0" w:type="dxa"/>
              <w:left w:w="0" w:type="dxa"/>
              <w:bottom w:w="0" w:type="dxa"/>
              <w:right w:w="0" w:type="dxa"/>
            </w:tcMar>
            <w:vAlign w:val="center"/>
          </w:tcPr>
          <w:p w:rsidR="00860206" w:rsidRPr="00F96E8D"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rPr>
              <w:t>ЭФФЕКТИВНОЕ УПРАВЛЕНИЕ МУНИЦИПАЛЬНЫМИ ФИНАНСАМИ ТОМСКОГО РАЙОНА</w:t>
            </w:r>
          </w:p>
        </w:tc>
      </w:tr>
      <w:tr w:rsidR="00B15498" w:rsidRPr="00F96E8D" w:rsidTr="00B15498">
        <w:trPr>
          <w:gridAfter w:val="1"/>
          <w:wAfter w:w="815" w:type="dxa"/>
          <w:trHeight w:val="1560"/>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задачи, мероприятия муниципальной программы</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Срок реализа-ции</w:t>
            </w:r>
          </w:p>
        </w:tc>
        <w:tc>
          <w:tcPr>
            <w:tcW w:w="1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Участники –главные распорядители средств бюджета Томского района</w:t>
            </w:r>
          </w:p>
        </w:tc>
      </w:tr>
      <w:tr w:rsidR="00B15498" w:rsidRPr="00F96E8D" w:rsidTr="00B15498">
        <w:trPr>
          <w:gridAfter w:val="1"/>
          <w:wAfter w:w="815" w:type="dxa"/>
          <w:trHeight w:val="95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1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r>
      <w:tr w:rsidR="00B15498" w:rsidRPr="00F96E8D" w:rsidTr="00B15498">
        <w:trPr>
          <w:gridAfter w:val="1"/>
          <w:wAfter w:w="815" w:type="dxa"/>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5</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946 575.7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946 575.7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131 616.8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131 616.8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136 334.6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136 334.6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176 158.7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176 158.7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142 781.2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693 115.1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693 115.1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105 844.2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105 844.2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108 150.5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108 150.5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119 436.0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119 436.0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119 658.0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120 013.2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1 432.9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1 432.9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1 432.9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29 230.2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29 230.2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6 830.0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6 830.0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6 859.4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6 859.4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15 540.8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15 540.8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5. Предоставление дотации на выравнивание бюджетной обеспеченности поселений</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46 953.2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46 953.2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9 829.1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9 829.1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12 124.1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12 124.1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509.0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509.0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509.0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Times New Roman" w:eastAsia="Times New Roman" w:hAnsi="Times New Roman" w:cs="Times New Roman"/>
                <w:sz w:val="18"/>
                <w:szCs w:val="18"/>
              </w:rPr>
            </w:pPr>
            <w:r w:rsidRPr="00F96E8D">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715.9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715.9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715.9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23 334.7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23 334.7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5 855.7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5 855.7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6 124.7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6 124.7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11 354.3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11 354.3</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713.9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713.9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713.9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597.0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597.0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597.0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857.3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857.3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857.3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907.8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907.8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907.8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1 000.0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1 000.0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996.0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996.0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996.0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965.8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965.8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965.8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995.0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995.0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770.8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770.8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770.8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1.1.1.20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100.0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56 821.4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56 821.4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 xml:space="preserve">Мероприятие 1. Предоставление бюджетам сельских поселений межбюджетных трансфертов на осуществление </w:t>
            </w:r>
            <w:r w:rsidRPr="00F96E8D">
              <w:rPr>
                <w:rFonts w:ascii="Times New Roman" w:eastAsia="Times New Roman" w:hAnsi="Times New Roman" w:cs="Times New Roman"/>
                <w:sz w:val="18"/>
                <w:szCs w:val="18"/>
              </w:rPr>
              <w:lastRenderedPageBreak/>
              <w:t>первичного воинского учета на территориях, где отсутствуют военные комиссариаты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lastRenderedPageBreak/>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11 564.6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11 564.6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5 472.1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6 092.5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45 256.8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45 256.8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7 338.2</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8 403.8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9 254.4</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10 130.2</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1.3</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Условно утверждаемые расходы</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129 777.6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0.0</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25 000.0</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52 388.8</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Итого по подпрограмме 1</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1 133 174.7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1 133 174.7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148 253.3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148 253.3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137 709.3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137 709.3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143 672.8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143 672.8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184 562.5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184 562.5</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153 912.4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153 912.4</w:t>
            </w:r>
          </w:p>
        </w:tc>
      </w:tr>
      <w:tr w:rsidR="00B15498" w:rsidRPr="00F96E8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r>
      <w:tr w:rsidR="00B15498" w:rsidRPr="00F96E8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182 532.2</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lastRenderedPageBreak/>
              <w:t>2.1</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19 452.1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1 815.3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2 530.3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3 030.3</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3 021.7</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3 012.1</w:t>
            </w:r>
          </w:p>
        </w:tc>
      </w:tr>
      <w:tr w:rsidR="00B15498" w:rsidRPr="00F96E8D" w:rsidTr="00B15498">
        <w:trPr>
          <w:gridAfter w:val="1"/>
          <w:wAfter w:w="815" w:type="dxa"/>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2.2</w:t>
            </w:r>
          </w:p>
        </w:tc>
        <w:tc>
          <w:tcPr>
            <w:tcW w:w="82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2. Обеспечение информационного обмена</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r>
      <w:tr w:rsidR="00B15498" w:rsidRPr="00F96E8D" w:rsidTr="00B15498">
        <w:trPr>
          <w:gridAfter w:val="1"/>
          <w:wAfter w:w="815" w:type="dxa"/>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доступа к сети Интернет</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652.6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86.8</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95.5</w:t>
            </w:r>
          </w:p>
        </w:tc>
      </w:tr>
      <w:tr w:rsidR="00B15498" w:rsidRPr="00F96E8D" w:rsidTr="00B15498">
        <w:trPr>
          <w:gridAfter w:val="1"/>
          <w:wAfter w:w="815" w:type="dxa"/>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6"/>
                <w:szCs w:val="16"/>
              </w:rPr>
              <w:t xml:space="preserve">   105.0</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Итого по подпрограмме 2</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20 104.7</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20 104.7</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1 902.1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1 902.1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2 617.1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2 617.1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3 117.1</w:t>
            </w:r>
          </w:p>
        </w:tc>
      </w:tr>
      <w:tr w:rsidR="00B15498" w:rsidRPr="00F96E8D" w:rsidTr="00B15498">
        <w:trPr>
          <w:gridAfter w:val="1"/>
          <w:wAfter w:w="815" w:type="dxa"/>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Итого по муниципальной программе </w:t>
            </w: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1 153 279.4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1 153 279.4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150 155.4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150 155.4</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140 326.4</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140 326.4</w:t>
            </w:r>
          </w:p>
        </w:tc>
      </w:tr>
      <w:tr w:rsidR="00B15498" w:rsidRPr="00F96E8D" w:rsidTr="00B15498">
        <w:trPr>
          <w:gridAfter w:val="1"/>
          <w:wAfter w:w="815" w:type="dxa"/>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146 789.9</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146 789.9</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187 679.6</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187 679.6</w:t>
            </w:r>
          </w:p>
        </w:tc>
      </w:tr>
      <w:tr w:rsidR="00B15498" w:rsidRPr="00F96E8D" w:rsidTr="00B15498">
        <w:trPr>
          <w:gridAfter w:val="1"/>
          <w:wAfter w:w="815" w:type="dxa"/>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157 029.5</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157 029.5</w:t>
            </w:r>
          </w:p>
        </w:tc>
      </w:tr>
      <w:tr w:rsidR="00B15498" w:rsidRPr="00F96E8D" w:rsidTr="00B15498">
        <w:trPr>
          <w:gridAfter w:val="1"/>
          <w:wAfter w:w="815" w:type="dxa"/>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r>
      <w:tr w:rsidR="00B15498" w:rsidRPr="00F96E8D" w:rsidTr="00B15498">
        <w:trPr>
          <w:gridAfter w:val="1"/>
          <w:wAfter w:w="815" w:type="dxa"/>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rPr>
                <w:rFonts w:ascii="Arial" w:eastAsia="Times New Roman" w:hAnsi="Arial" w:cs="Arial"/>
                <w:sz w:val="2"/>
                <w:szCs w:val="2"/>
              </w:rPr>
            </w:pPr>
          </w:p>
        </w:tc>
        <w:tc>
          <w:tcPr>
            <w:tcW w:w="8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c>
          <w:tcPr>
            <w:tcW w:w="11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15498" w:rsidRPr="00F96E8D" w:rsidRDefault="00B15498" w:rsidP="00B15498">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6"/>
                <w:szCs w:val="16"/>
              </w:rPr>
              <w:t xml:space="preserve">  185 649.3</w:t>
            </w:r>
          </w:p>
        </w:tc>
      </w:tr>
    </w:tbl>
    <w:p w:rsidR="00EF5694" w:rsidRPr="00F96E8D" w:rsidRDefault="00B570ED" w:rsidP="00201D48">
      <w:pPr>
        <w:pStyle w:val="ConsPlusTitle"/>
        <w:jc w:val="center"/>
        <w:outlineLvl w:val="1"/>
        <w:rPr>
          <w:rFonts w:ascii="Times New Roman" w:hAnsi="Times New Roman" w:cs="Times New Roman"/>
        </w:rPr>
      </w:pPr>
      <w:r w:rsidRPr="00F96E8D">
        <w:rPr>
          <w:rFonts w:ascii="Times New Roman" w:hAnsi="Times New Roman" w:cs="Times New Roman"/>
          <w:sz w:val="10"/>
          <w:szCs w:val="10"/>
        </w:rPr>
        <w:br/>
      </w:r>
    </w:p>
    <w:p w:rsidR="00201D48" w:rsidRPr="00F96E8D" w:rsidRDefault="00AE3AFC" w:rsidP="00201D48">
      <w:pPr>
        <w:pStyle w:val="ConsPlusTitle"/>
        <w:jc w:val="center"/>
        <w:outlineLvl w:val="1"/>
        <w:rPr>
          <w:rFonts w:ascii="Times New Roman" w:hAnsi="Times New Roman" w:cs="Times New Roman"/>
        </w:rPr>
      </w:pPr>
      <w:r w:rsidRPr="00F96E8D">
        <w:rPr>
          <w:rFonts w:ascii="Times New Roman" w:hAnsi="Times New Roman" w:cs="Times New Roman"/>
        </w:rPr>
        <w:t>4.</w:t>
      </w:r>
      <w:r w:rsidR="00201D48" w:rsidRPr="00F96E8D">
        <w:rPr>
          <w:rFonts w:ascii="Times New Roman" w:hAnsi="Times New Roman" w:cs="Times New Roman"/>
        </w:rPr>
        <w:t>Управление и контроль за реализацией муниципальной</w:t>
      </w:r>
    </w:p>
    <w:p w:rsidR="00201D48" w:rsidRPr="00F96E8D" w:rsidRDefault="00201D48" w:rsidP="00201D48">
      <w:pPr>
        <w:pStyle w:val="ConsPlusTitle"/>
        <w:jc w:val="center"/>
        <w:rPr>
          <w:rFonts w:ascii="Times New Roman" w:hAnsi="Times New Roman" w:cs="Times New Roman"/>
        </w:rPr>
      </w:pPr>
      <w:r w:rsidRPr="00F96E8D">
        <w:rPr>
          <w:rFonts w:ascii="Times New Roman" w:hAnsi="Times New Roman" w:cs="Times New Roman"/>
        </w:rPr>
        <w:t>программы, в том числе анализ рисков реализации</w:t>
      </w:r>
    </w:p>
    <w:p w:rsidR="00201D48" w:rsidRPr="00F96E8D" w:rsidRDefault="00201D48" w:rsidP="00201D48">
      <w:pPr>
        <w:pStyle w:val="ConsPlusTitle"/>
        <w:jc w:val="center"/>
        <w:rPr>
          <w:rFonts w:ascii="Times New Roman" w:hAnsi="Times New Roman" w:cs="Times New Roman"/>
        </w:rPr>
      </w:pPr>
      <w:r w:rsidRPr="00F96E8D">
        <w:rPr>
          <w:rFonts w:ascii="Times New Roman" w:hAnsi="Times New Roman" w:cs="Times New Roman"/>
        </w:rPr>
        <w:t>муниципальной программы</w:t>
      </w:r>
    </w:p>
    <w:p w:rsidR="00201D48" w:rsidRPr="00F96E8D" w:rsidRDefault="00201D48" w:rsidP="00201D48">
      <w:pPr>
        <w:pStyle w:val="ConsPlusNormal"/>
        <w:jc w:val="both"/>
        <w:rPr>
          <w:rFonts w:ascii="Times New Roman" w:hAnsi="Times New Roman" w:cs="Times New Roman"/>
        </w:rPr>
      </w:pPr>
    </w:p>
    <w:p w:rsidR="00B570ED" w:rsidRPr="00F96E8D"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Администрации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осуществляет управление настоящей Программой;</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lastRenderedPageBreak/>
        <w:t>- готовит годовой отчет о реализации Программы по установленной форме.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F96E8D"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F96E8D" w:rsidRDefault="00A855BD" w:rsidP="00186959">
      <w:pPr>
        <w:spacing w:after="0" w:line="240" w:lineRule="auto"/>
        <w:jc w:val="right"/>
        <w:rPr>
          <w:rFonts w:ascii="Times New Roman" w:hAnsi="Times New Roman" w:cs="Times New Roman"/>
          <w:sz w:val="26"/>
          <w:szCs w:val="26"/>
        </w:rPr>
      </w:pPr>
    </w:p>
    <w:p w:rsidR="00B570ED" w:rsidRPr="00F96E8D" w:rsidRDefault="00B570ED" w:rsidP="00186959">
      <w:pPr>
        <w:spacing w:after="0" w:line="240" w:lineRule="auto"/>
        <w:jc w:val="right"/>
        <w:rPr>
          <w:rFonts w:ascii="Times New Roman" w:hAnsi="Times New Roman" w:cs="Times New Roman"/>
          <w:sz w:val="26"/>
          <w:szCs w:val="26"/>
        </w:rPr>
        <w:sectPr w:rsidR="00B570ED" w:rsidRPr="00F96E8D"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960D0" w:rsidRPr="00F96E8D" w:rsidTr="00AC6896">
        <w:trPr>
          <w:trHeight w:val="287"/>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lastRenderedPageBreak/>
              <w:t>ПАСПОРТ</w:t>
            </w:r>
          </w:p>
        </w:tc>
      </w:tr>
      <w:tr w:rsidR="002960D0" w:rsidRPr="00F96E8D" w:rsidTr="00AC6896">
        <w:trPr>
          <w:trHeight w:val="384"/>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1</w:t>
            </w:r>
          </w:p>
        </w:tc>
      </w:tr>
      <w:tr w:rsidR="002960D0" w:rsidRPr="00F96E8D" w:rsidTr="00AC6896">
        <w:trPr>
          <w:trHeight w:val="545"/>
        </w:trPr>
        <w:tc>
          <w:tcPr>
            <w:tcW w:w="15640" w:type="dxa"/>
            <w:gridSpan w:val="11"/>
            <w:tcMar>
              <w:top w:w="0" w:type="dxa"/>
              <w:left w:w="0" w:type="dxa"/>
              <w:bottom w:w="0" w:type="dxa"/>
              <w:right w:w="0" w:type="dxa"/>
            </w:tcMar>
            <w:vAlign w:val="center"/>
          </w:tcPr>
          <w:p w:rsidR="002960D0" w:rsidRPr="00F96E8D"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Совершенствование межбюджетных отношений в Томском районе</w:t>
            </w:r>
            <w:r w:rsidRPr="00F96E8D">
              <w:rPr>
                <w:rFonts w:ascii="Times New Roman" w:hAnsi="Times New Roman" w:cs="Times New Roman"/>
                <w:b/>
                <w:bCs/>
              </w:rPr>
              <w:br/>
            </w:r>
            <w:r w:rsidRPr="00F96E8D">
              <w:rPr>
                <w:rFonts w:ascii="Times New Roman" w:hAnsi="Times New Roman" w:cs="Times New Roman"/>
                <w:b/>
                <w:bCs/>
              </w:rPr>
              <w:br/>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Совершенствование межбюджетных отношений в Томском районе</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AC6896" w:rsidRPr="00F96E8D"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F96E8D">
              <w:rPr>
                <w:rFonts w:ascii="Times New Roman" w:eastAsia="Times New Roman" w:hAnsi="Times New Roman" w:cs="Times New Roman"/>
                <w:sz w:val="20"/>
                <w:szCs w:val="20"/>
              </w:rPr>
              <w:br/>
              <w:t xml:space="preserve"> </w:t>
            </w:r>
          </w:p>
        </w:tc>
      </w:tr>
      <w:tr w:rsidR="00AC6896" w:rsidRPr="00F96E8D"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AC6896" w:rsidRPr="00F96E8D"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F96E8D"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F96E8D"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F96E8D">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F96E8D">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F96E8D"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не &lt;   90.0</w:t>
            </w:r>
          </w:p>
        </w:tc>
      </w:tr>
      <w:tr w:rsidR="00AC6896" w:rsidRPr="00F96E8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25 014.6</w:t>
            </w:r>
          </w:p>
        </w:tc>
      </w:tr>
      <w:tr w:rsidR="00AC6896" w:rsidRPr="00F96E8D"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19.0</w:t>
            </w:r>
          </w:p>
        </w:tc>
      </w:tr>
      <w:tr w:rsidR="00AC6896" w:rsidRPr="00F96E8D"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AC6896" w:rsidRPr="00F96E8D"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F96E8D"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AC6896" w:rsidRPr="00F96E8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нет</w:t>
            </w:r>
          </w:p>
        </w:tc>
      </w:tr>
      <w:tr w:rsidR="00AC6896" w:rsidRPr="00F96E8D"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2021 – 2025 годы и прогнозные 2026 и 2027 года</w:t>
            </w:r>
          </w:p>
        </w:tc>
      </w:tr>
      <w:tr w:rsidR="00AC6896" w:rsidRPr="00F96E8D"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2026</w:t>
            </w:r>
            <w:r w:rsidRPr="00F96E8D">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F96E8D"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2027</w:t>
            </w:r>
            <w:r w:rsidRPr="00F96E8D">
              <w:rPr>
                <w:rFonts w:ascii="Times New Roman" w:eastAsia="Times New Roman" w:hAnsi="Times New Roman" w:cs="Times New Roman"/>
                <w:b/>
                <w:bCs/>
                <w:sz w:val="20"/>
                <w:szCs w:val="20"/>
              </w:rPr>
              <w:br/>
              <w:t>(прогноз)</w:t>
            </w:r>
          </w:p>
        </w:tc>
      </w:tr>
      <w:tr w:rsidR="00B33E4B" w:rsidRPr="00F96E8D"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w:t>
            </w:r>
            <w:r w:rsidR="000B6E90" w:rsidRPr="00F96E8D">
              <w:rPr>
                <w:rFonts w:ascii="Times New Roman" w:hAnsi="Times New Roman" w:cs="Times New Roman"/>
                <w:b/>
                <w:bCs/>
                <w:sz w:val="20"/>
                <w:szCs w:val="20"/>
              </w:rPr>
              <w:t> 403,8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10 130.2</w:t>
            </w:r>
          </w:p>
        </w:tc>
      </w:tr>
      <w:tr w:rsidR="00B33E4B" w:rsidRPr="00F96E8D"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807 050.4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120 013.2</w:t>
            </w:r>
          </w:p>
        </w:tc>
      </w:tr>
      <w:tr w:rsidR="00B33E4B" w:rsidRPr="00F96E8D"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51</w:t>
            </w:r>
            <w:r w:rsidR="000B6E90" w:rsidRPr="00F96E8D">
              <w:rPr>
                <w:rFonts w:ascii="Times New Roman" w:hAnsi="Times New Roman" w:cs="Times New Roman"/>
                <w:b/>
                <w:bCs/>
                <w:sz w:val="20"/>
                <w:szCs w:val="20"/>
              </w:rPr>
              <w:t> 995,1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52 388.8</w:t>
            </w:r>
          </w:p>
        </w:tc>
      </w:tr>
      <w:tr w:rsidR="00B33E4B" w:rsidRPr="00F96E8D"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24 511.5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0B6E90"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10 307,8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r>
      <w:tr w:rsidR="00B33E4B" w:rsidRPr="00F96E8D"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4 640.7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0.0</w:t>
            </w:r>
          </w:p>
        </w:tc>
      </w:tr>
      <w:tr w:rsidR="00B33E4B" w:rsidRPr="00F96E8D"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33E4B" w:rsidRPr="00F96E8D"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1 161 536.0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0B6E90">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w:t>
            </w:r>
            <w:r w:rsidR="000B6E90" w:rsidRPr="00F96E8D">
              <w:rPr>
                <w:rFonts w:ascii="Times New Roman" w:hAnsi="Times New Roman" w:cs="Times New Roman"/>
                <w:b/>
                <w:bCs/>
                <w:sz w:val="20"/>
                <w:szCs w:val="20"/>
              </w:rPr>
              <w:t>198 163,4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F96E8D" w:rsidRDefault="00B33E4B" w:rsidP="00BA1AED">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20"/>
                <w:szCs w:val="20"/>
              </w:rPr>
              <w:t xml:space="preserve">  182 532.2</w:t>
            </w:r>
          </w:p>
        </w:tc>
      </w:tr>
    </w:tbl>
    <w:p w:rsidR="00744392" w:rsidRPr="00F96E8D"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F96E8D" w:rsidSect="000A4B78">
          <w:pgSz w:w="16838" w:h="11905" w:orient="landscape" w:code="9"/>
          <w:pgMar w:top="1361" w:right="851" w:bottom="567" w:left="567" w:header="720" w:footer="397" w:gutter="0"/>
          <w:cols w:space="720"/>
          <w:noEndnote/>
          <w:docGrid w:linePitch="299"/>
        </w:sectPr>
      </w:pPr>
    </w:p>
    <w:p w:rsidR="00855579" w:rsidRPr="00F96E8D"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lastRenderedPageBreak/>
        <w:t>1. Характеристика сферы реализации подпрограммы 1, описание</w:t>
      </w:r>
    </w:p>
    <w:p w:rsidR="00855579" w:rsidRPr="00F96E8D"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основных проблем в указанной сфере и прогноз ее развития</w:t>
      </w:r>
    </w:p>
    <w:p w:rsidR="00855579" w:rsidRPr="00F96E8D"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F96E8D"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межбюджетных отношениях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Совершенствование межбюджетных отношений в Томском районе</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решаются две задачи: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xml:space="preserve">создание условий для обеспечения равных финансовых возможностей муниципальных образований </w:t>
      </w:r>
      <w:r w:rsidRPr="00F96E8D">
        <w:rPr>
          <w:rFonts w:ascii="Times New Roman" w:eastAsia="Times New Roman" w:hAnsi="Times New Roman" w:cs="Times New Roman"/>
          <w:szCs w:val="20"/>
        </w:rPr>
        <w:lastRenderedPageBreak/>
        <w:t>по решению вопросов местного значения;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обеспечение осуществления в муниципальном образовании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межбюджетных отношениях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 приложениями 1 и 2 Закона Томской области от 14.10.2005 N 191-ОЗ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25.02.2022 № 68-П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25.02.2022 № 69-П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субсидии на уплату налога на имущество, находящееся в муниципальной собственности поселения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29.06.2022 № 260-П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Лучший муниципальный служащий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постановлением Администрации Томского района от 18.08.2022 г. № 336-П</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реализуется мероприятие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F96E8D">
        <w:rPr>
          <w:rFonts w:ascii="Times New Roman" w:eastAsia="Times New Roman" w:hAnsi="Times New Roman" w:cs="Times New Roman"/>
          <w:szCs w:val="20"/>
        </w:rPr>
        <w:t xml:space="preserve">, </w:t>
      </w:r>
      <w:r w:rsidR="004D2608" w:rsidRPr="00F96E8D">
        <w:rPr>
          <w:rFonts w:ascii="Times New Roman" w:hAnsi="Times New Roman" w:cs="Times New Roman"/>
        </w:rPr>
        <w:t>постановлением Администрации Томского района от 27.12.2022 г. № 530-П</w:t>
      </w:r>
      <w:r w:rsidR="00CC741F" w:rsidRPr="00F96E8D">
        <w:rPr>
          <w:rFonts w:ascii="Times New Roman" w:hAnsi="Times New Roman" w:cs="Times New Roman"/>
        </w:rPr>
        <w:t xml:space="preserve"> «</w:t>
      </w:r>
      <w:r w:rsidR="004D2608" w:rsidRPr="00F96E8D">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F96E8D">
        <w:rPr>
          <w:rFonts w:ascii="Times New Roman" w:hAnsi="Times New Roman" w:cs="Times New Roman"/>
        </w:rPr>
        <w:t xml:space="preserve"> «</w:t>
      </w:r>
      <w:r w:rsidR="004D2608" w:rsidRPr="00F96E8D">
        <w:rPr>
          <w:rFonts w:ascii="Times New Roman" w:hAnsi="Times New Roman" w:cs="Times New Roman"/>
        </w:rPr>
        <w:t>Томский район</w:t>
      </w:r>
      <w:r w:rsidR="00CC741F" w:rsidRPr="00F96E8D">
        <w:rPr>
          <w:rFonts w:ascii="Times New Roman" w:hAnsi="Times New Roman" w:cs="Times New Roman"/>
        </w:rPr>
        <w:t>»</w:t>
      </w:r>
      <w:r w:rsidR="004D2608" w:rsidRPr="00F96E8D">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F96E8D">
        <w:rPr>
          <w:rFonts w:ascii="Times New Roman" w:hAnsi="Times New Roman" w:cs="Times New Roman"/>
        </w:rPr>
        <w:t>»</w:t>
      </w:r>
      <w:r w:rsidR="004D2608" w:rsidRPr="00F96E8D">
        <w:rPr>
          <w:rFonts w:ascii="Times New Roman" w:hAnsi="Times New Roman" w:cs="Times New Roman"/>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Лучший муниципальный служащий в Томской области</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рамках второй задачи реализуется основное мероприятие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Обеспечение осуществления в муниципальном образовании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lastRenderedPageBreak/>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воинской обязанности и военной службе</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Реализация подпрограммы 1 позволит обеспечить:</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усиление взаимосвязи стратегического и бюджетного планирования;</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Осуществление мероприятия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F96E8D"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Объем финансирования подпрограммы 1 приведен в разделе 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Ресурсное обеспечение реализации подпрограммы 1</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1D5443" w:rsidRPr="00F96E8D" w:rsidRDefault="001D5443" w:rsidP="00994E8A">
      <w:pPr>
        <w:pStyle w:val="ConsPlusTitle"/>
        <w:jc w:val="center"/>
        <w:outlineLvl w:val="1"/>
        <w:rPr>
          <w:rFonts w:ascii="Times New Roman" w:hAnsi="Times New Roman" w:cs="Times New Roman"/>
        </w:rPr>
        <w:sectPr w:rsidR="001D5443" w:rsidRPr="00F96E8D" w:rsidSect="00997F7D">
          <w:pgSz w:w="11905" w:h="16838" w:code="9"/>
          <w:pgMar w:top="851" w:right="567" w:bottom="567" w:left="1361" w:header="720" w:footer="397" w:gutter="0"/>
          <w:cols w:space="720"/>
          <w:noEndnote/>
          <w:docGrid w:linePitch="299"/>
        </w:sectPr>
      </w:pPr>
    </w:p>
    <w:p w:rsidR="00994E8A" w:rsidRPr="00F96E8D" w:rsidRDefault="00994E8A" w:rsidP="00994E8A">
      <w:pPr>
        <w:pStyle w:val="ConsPlusTitle"/>
        <w:jc w:val="center"/>
        <w:outlineLvl w:val="1"/>
        <w:rPr>
          <w:rFonts w:ascii="Times New Roman" w:hAnsi="Times New Roman" w:cs="Times New Roman"/>
        </w:rPr>
      </w:pPr>
      <w:r w:rsidRPr="00F96E8D">
        <w:rPr>
          <w:rFonts w:ascii="Times New Roman" w:hAnsi="Times New Roman" w:cs="Times New Roman"/>
        </w:rPr>
        <w:lastRenderedPageBreak/>
        <w:t>2. Перечень показателей цели и задач подпрограммы 1</w:t>
      </w:r>
    </w:p>
    <w:p w:rsidR="00994E8A" w:rsidRPr="00F96E8D" w:rsidRDefault="00994E8A" w:rsidP="00994E8A">
      <w:pPr>
        <w:pStyle w:val="ConsPlusTitle"/>
        <w:jc w:val="center"/>
        <w:rPr>
          <w:rFonts w:ascii="Times New Roman" w:hAnsi="Times New Roman" w:cs="Times New Roman"/>
        </w:rPr>
      </w:pPr>
      <w:r w:rsidRPr="00F96E8D">
        <w:rPr>
          <w:rFonts w:ascii="Times New Roman" w:hAnsi="Times New Roman" w:cs="Times New Roman"/>
        </w:rPr>
        <w:t>и сведения о порядке сбора информации по показателям</w:t>
      </w:r>
    </w:p>
    <w:p w:rsidR="00F2642E" w:rsidRPr="00F96E8D" w:rsidRDefault="00E217B4" w:rsidP="00E217B4">
      <w:pPr>
        <w:pStyle w:val="ConsPlusTitle"/>
        <w:jc w:val="center"/>
        <w:rPr>
          <w:rFonts w:ascii="Times New Roman" w:hAnsi="Times New Roman" w:cs="Times New Roman"/>
        </w:rPr>
      </w:pPr>
      <w:r w:rsidRPr="00F96E8D">
        <w:rPr>
          <w:rFonts w:ascii="Times New Roman" w:hAnsi="Times New Roman" w:cs="Times New Roman"/>
        </w:rPr>
        <w:t>и методике их расчета</w:t>
      </w: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4529F" w:rsidRPr="00F96E8D"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F96E8D">
              <w:rPr>
                <w:rFonts w:ascii="Times New Roman" w:eastAsia="Times New Roman" w:hAnsi="Times New Roman" w:cs="Times New Roman"/>
                <w:b/>
                <w:bCs/>
                <w:sz w:val="20"/>
                <w:szCs w:val="20"/>
              </w:rPr>
              <w:t>N</w:t>
            </w:r>
          </w:p>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Ответственный за сбор данных по показателю</w:t>
            </w:r>
          </w:p>
        </w:tc>
      </w:tr>
      <w:tr w:rsidR="0044529F" w:rsidRPr="00F96E8D"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8</w:t>
            </w:r>
          </w:p>
        </w:tc>
      </w:tr>
      <w:tr w:rsidR="0044529F" w:rsidRPr="00F96E8D"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Дмбу = Рмбу / Рмб x 100%, где: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Рмб - ассигнования, выделяемые в виде финансовой помощи местным бюджетам</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БОгар = Di / Dффп, где: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БОгар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Dффп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 xml:space="preserve">МБТi V = (S2 – S1) х Чi х N х Квф, где: </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МБТi V – объем иных межбюджетных трансфертов i-му поселению;</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S1 – размер МРОТ действующий до даты увеличения МРОТ (или действующий в текущем периоде);</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 xml:space="preserve">S2 – размер МРОТ установленный на 01января  </w:t>
            </w:r>
            <w:r w:rsidRPr="00F96E8D">
              <w:rPr>
                <w:rFonts w:ascii="Times New Roman" w:eastAsia="Times New Roman" w:hAnsi="Times New Roman" w:cs="Times New Roman"/>
                <w:sz w:val="20"/>
                <w:szCs w:val="20"/>
              </w:rPr>
              <w:lastRenderedPageBreak/>
              <w:t>очередного финансового года;</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Чi - количество штатных единиц, по которым производится доплата до МРОТ в i-том поселении;</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N – количество месяцев, на которые рассчитывается сумма иных межбюджетных трансфертов;</w:t>
            </w:r>
          </w:p>
          <w:p w:rsidR="0044529F" w:rsidRPr="00F96E8D"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Квф - коэффициент отчислений во внебюджетные фонды.</w:t>
            </w:r>
          </w:p>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44529F" w:rsidRPr="00F96E8D"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F96E8D"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Качество управления муниципальными финансами</w:t>
            </w:r>
            <w:r w:rsidR="00831A9F" w:rsidRPr="00F96E8D">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до 20 октября</w:t>
            </w:r>
          </w:p>
          <w:p w:rsidR="00831A9F" w:rsidRPr="00F96E8D"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96E8D">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считается равным 100 процентам при не допущении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F96E8D"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bl>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p w:rsidR="0044529F" w:rsidRPr="00F96E8D" w:rsidRDefault="0044529F" w:rsidP="00E217B4">
      <w:pPr>
        <w:pStyle w:val="ConsPlusTitle"/>
        <w:jc w:val="center"/>
        <w:rPr>
          <w:rFonts w:ascii="Times New Roman" w:hAnsi="Times New Roman" w:cs="Times New Roman"/>
        </w:rPr>
      </w:pPr>
    </w:p>
    <w:tbl>
      <w:tblPr>
        <w:tblW w:w="15661" w:type="dxa"/>
        <w:tblLayout w:type="fixed"/>
        <w:tblLook w:val="0000" w:firstRow="0" w:lastRow="0" w:firstColumn="0" w:lastColumn="0" w:noHBand="0" w:noVBand="0"/>
      </w:tblPr>
      <w:tblGrid>
        <w:gridCol w:w="15661"/>
      </w:tblGrid>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1</w:t>
            </w:r>
          </w:p>
        </w:tc>
      </w:tr>
      <w:tr w:rsidR="00E93607" w:rsidRPr="00F96E8D" w:rsidTr="00CE6994">
        <w:trPr>
          <w:trHeight w:val="288"/>
        </w:trPr>
        <w:tc>
          <w:tcPr>
            <w:tcW w:w="15661" w:type="dxa"/>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Совершенствование межбюджетных отношений в Томском районе</w:t>
            </w:r>
            <w:r w:rsidRPr="00F96E8D">
              <w:rPr>
                <w:rFonts w:ascii="Times New Roman" w:hAnsi="Times New Roman" w:cs="Times New Roman"/>
                <w:b/>
                <w:bCs/>
              </w:rPr>
              <w:br/>
            </w:r>
            <w:r w:rsidRPr="00F96E8D">
              <w:rPr>
                <w:rFonts w:ascii="Times New Roman" w:hAnsi="Times New Roman" w:cs="Times New Roman"/>
                <w:b/>
                <w:bCs/>
              </w:rPr>
              <w:br/>
            </w:r>
          </w:p>
        </w:tc>
      </w:tr>
    </w:tbl>
    <w:p w:rsidR="000B0371" w:rsidRPr="00F96E8D" w:rsidRDefault="000B0371"/>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E6994" w:rsidRPr="00F96E8D" w:rsidTr="00CE699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E6994" w:rsidRPr="00F96E8D" w:rsidTr="00CE699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значения по годам реализации</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12</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ПОДПРОГРАММА 1 Совершенствование межбюджетных отношений в Томском районе</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977 250.7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139 525.3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4 640.7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Управление финансов Администрации Томского района, Администрации сельских поселений</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r w:rsidRPr="00F96E8D">
              <w:rPr>
                <w:rFonts w:ascii="Times New Roman" w:hAnsi="Times New Roman" w:cs="Times New Roman"/>
                <w:sz w:val="18"/>
                <w:szCs w:val="18"/>
              </w:rPr>
              <w:br/>
              <w:t>Минимально гарантированный уровень заработной платы,</w:t>
            </w:r>
            <w:r w:rsidRPr="00F96E8D">
              <w:rPr>
                <w:rFonts w:ascii="Times New Roman" w:hAnsi="Times New Roman" w:cs="Times New Roman"/>
                <w:sz w:val="18"/>
                <w:szCs w:val="18"/>
              </w:rPr>
              <w:br/>
              <w:t>Рубль</w:t>
            </w:r>
            <w:r w:rsidRPr="00F96E8D">
              <w:rPr>
                <w:rFonts w:ascii="Times New Roman" w:hAnsi="Times New Roman" w:cs="Times New Roman"/>
                <w:sz w:val="18"/>
                <w:szCs w:val="18"/>
              </w:rPr>
              <w:br/>
            </w:r>
            <w:r w:rsidRPr="00F96E8D">
              <w:rPr>
                <w:rFonts w:ascii="Times New Roman" w:hAnsi="Times New Roman" w:cs="Times New Roman"/>
                <w:sz w:val="18"/>
                <w:szCs w:val="18"/>
              </w:rPr>
              <w:b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18057,0</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145 432.7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21114,6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189 759.6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3 293.2</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t xml:space="preserve"> 25014,6</w:t>
            </w:r>
            <w:r w:rsidRPr="00F96E8D">
              <w:rPr>
                <w:rFonts w:ascii="Times New Roman" w:hAnsi="Times New Roman" w:cs="Times New Roman"/>
                <w:sz w:val="18"/>
                <w:szCs w:val="18"/>
              </w:rPr>
              <w:br/>
              <w:t xml:space="preserve"> 100,0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693 115.1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119 436.0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заработной платы,</w:t>
            </w:r>
            <w:r w:rsidRPr="00F96E8D">
              <w:rPr>
                <w:rFonts w:ascii="Times New Roman" w:hAnsi="Times New Roman" w:cs="Times New Roman"/>
                <w:sz w:val="18"/>
                <w:szCs w:val="18"/>
              </w:rPr>
              <w:br/>
              <w:t>Рубль</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18 057.0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21 114.6</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33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25 014.6</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 xml:space="preserve">Мероприятие 4. </w:t>
            </w:r>
            <w:r w:rsidRPr="00F96E8D">
              <w:rPr>
                <w:rFonts w:ascii="Times New Roman" w:hAnsi="Times New Roman" w:cs="Times New Roman"/>
                <w:sz w:val="18"/>
                <w:szCs w:val="18"/>
              </w:rPr>
              <w:lastRenderedPageBreak/>
              <w:t>Предоставление субсидии на уплату налога на имущество, находящееся в муниципальной собственности поселения</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44 737.9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15 507.7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Управление </w:t>
            </w:r>
            <w:r w:rsidRPr="00F96E8D">
              <w:rPr>
                <w:rFonts w:ascii="Times New Roman" w:hAnsi="Times New Roman" w:cs="Times New Roman"/>
                <w:sz w:val="18"/>
                <w:szCs w:val="18"/>
              </w:rPr>
              <w:lastRenderedPageBreak/>
              <w:t>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lastRenderedPageBreak/>
              <w:t xml:space="preserve">Количество фактов </w:t>
            </w:r>
            <w:r w:rsidRPr="00F96E8D">
              <w:rPr>
                <w:rFonts w:ascii="Times New Roman" w:hAnsi="Times New Roman" w:cs="Times New Roman"/>
                <w:sz w:val="18"/>
                <w:szCs w:val="18"/>
              </w:rPr>
              <w:lastRenderedPageBreak/>
              <w:t>неуплаты налога на имущество, находящееся в муниципальной собственности поселения,</w:t>
            </w:r>
            <w:r w:rsidRPr="00F96E8D">
              <w:rPr>
                <w:rFonts w:ascii="Times New Roman" w:hAnsi="Times New Roman" w:cs="Times New Roman"/>
                <w:sz w:val="18"/>
                <w:szCs w:val="18"/>
              </w:rPr>
              <w:br/>
              <w:t>Единиц</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lastRenderedPageBreak/>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14 014.2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17 063.7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1 522.9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2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46 953.2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не &lt; 90,0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Управление финансов Администрации Томского района, Администрация </w:t>
            </w:r>
            <w:r w:rsidRPr="00F96E8D">
              <w:rPr>
                <w:rFonts w:ascii="Times New Roman" w:hAnsi="Times New Roman" w:cs="Times New Roman"/>
                <w:sz w:val="18"/>
                <w:szCs w:val="18"/>
              </w:rPr>
              <w:lastRenderedPageBreak/>
              <w:t>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lastRenderedPageBreak/>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Times New Roman" w:hAnsi="Times New Roman" w:cs="Times New Roman"/>
                <w:sz w:val="18"/>
                <w:szCs w:val="18"/>
              </w:rPr>
            </w:pPr>
            <w:r w:rsidRPr="00F96E8D">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7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23 334.7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23 334.7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11 354.3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11 354.3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9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1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Мероприятие 14. Финансовая поддержка </w:t>
            </w:r>
            <w:r w:rsidRPr="00F96E8D">
              <w:rPr>
                <w:rFonts w:ascii="Times New Roman" w:hAnsi="Times New Roman" w:cs="Times New Roman"/>
                <w:sz w:val="18"/>
                <w:szCs w:val="18"/>
              </w:rPr>
              <w:lastRenderedPageBreak/>
              <w:t>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Управление финансов </w:t>
            </w:r>
            <w:r w:rsidRPr="00F96E8D">
              <w:rPr>
                <w:rFonts w:ascii="Times New Roman" w:hAnsi="Times New Roman" w:cs="Times New Roman"/>
                <w:sz w:val="18"/>
                <w:szCs w:val="18"/>
              </w:rPr>
              <w:lastRenderedPageBreak/>
              <w:t>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lastRenderedPageBreak/>
              <w:t xml:space="preserve">Достижение показателя </w:t>
            </w:r>
            <w:r w:rsidRPr="00F96E8D">
              <w:rPr>
                <w:rFonts w:ascii="Times New Roman" w:hAnsi="Times New Roman" w:cs="Times New Roman"/>
                <w:sz w:val="18"/>
                <w:szCs w:val="18"/>
              </w:rPr>
              <w:lastRenderedPageBreak/>
              <w:t>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lastRenderedPageBreak/>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4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698.0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2 198.0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698.0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1 467.6</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7 046.7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1 467.6</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29"/>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843.7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4 895.5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843.7</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2026 год </w:t>
            </w:r>
            <w:r w:rsidRPr="00F96E8D">
              <w:rPr>
                <w:rFonts w:ascii="Times New Roman" w:hAnsi="Times New Roman" w:cs="Times New Roman"/>
                <w:sz w:val="18"/>
                <w:szCs w:val="1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169.0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1 639.6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169.0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115.0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 ,</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1 025.8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115.0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401"/>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1.1.20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20. Иной межбюджетный трансферт на возмещение расходов, связанных со служебной командировкой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 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381"/>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r w:rsidRPr="00F96E8D">
              <w:rPr>
                <w:rFonts w:ascii="Times New Roman" w:hAnsi="Times New Roman" w:cs="Times New Roman"/>
                <w:sz w:val="18"/>
                <w:szCs w:val="18"/>
              </w:rPr>
              <w:br/>
              <w:t>Количество граждан, состоящих на воинском учете,</w:t>
            </w:r>
            <w:r w:rsidRPr="00F96E8D">
              <w:rPr>
                <w:rFonts w:ascii="Times New Roman" w:hAnsi="Times New Roman" w:cs="Times New Roman"/>
                <w:sz w:val="18"/>
                <w:szCs w:val="18"/>
              </w:rPr>
              <w:br/>
              <w:t>Человек</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17399,0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r w:rsidRPr="00F96E8D">
              <w:rPr>
                <w:rFonts w:ascii="Times New Roman" w:hAnsi="Times New Roman" w:cs="Times New Roman"/>
                <w:sz w:val="18"/>
                <w:szCs w:val="18"/>
              </w:rPr>
              <w:br/>
              <w:t>Количество граждан, состоящих на воинском учете,</w:t>
            </w:r>
            <w:r w:rsidRPr="00F96E8D">
              <w:rPr>
                <w:rFonts w:ascii="Times New Roman" w:hAnsi="Times New Roman" w:cs="Times New Roman"/>
                <w:sz w:val="18"/>
                <w:szCs w:val="18"/>
              </w:rPr>
              <w:br/>
              <w:t>Человек</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17399,0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38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r w:rsidRPr="00F96E8D">
              <w:rPr>
                <w:rFonts w:ascii="Times New Roman" w:hAnsi="Times New Roman" w:cs="Times New Roman"/>
                <w:sz w:val="18"/>
                <w:szCs w:val="18"/>
              </w:rPr>
              <w:br/>
              <w:t xml:space="preserve"> 0,0</w:t>
            </w:r>
            <w:r w:rsidRPr="00F96E8D">
              <w:rPr>
                <w:rFonts w:ascii="Times New Roman" w:hAnsi="Times New Roman" w:cs="Times New Roman"/>
                <w:sz w:val="18"/>
                <w:szCs w:val="18"/>
              </w:rPr>
              <w:br/>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w:t>
            </w:r>
            <w:r w:rsidRPr="00F96E8D">
              <w:rPr>
                <w:rFonts w:ascii="Times New Roman" w:hAnsi="Times New Roman" w:cs="Times New Roman"/>
                <w:sz w:val="18"/>
                <w:szCs w:val="18"/>
              </w:rPr>
              <w:lastRenderedPageBreak/>
              <w:t>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45 256.8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45 256.8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Количество сельских поселений - получателей межбюджетных трансфертов,</w:t>
            </w:r>
            <w:r w:rsidRPr="00F96E8D">
              <w:rPr>
                <w:rFonts w:ascii="Times New Roman" w:hAnsi="Times New Roman" w:cs="Times New Roman"/>
                <w:sz w:val="18"/>
                <w:szCs w:val="18"/>
              </w:rPr>
              <w:br/>
              <w:t>Единица</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4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19.0</w:t>
            </w:r>
          </w:p>
        </w:tc>
      </w:tr>
      <w:tr w:rsidR="00CE6994" w:rsidRPr="00F96E8D" w:rsidTr="00CE699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r w:rsidRPr="00F96E8D">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Качество управления муниципальными финансами,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2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Достижение показателя результативности,</w:t>
            </w:r>
            <w:r w:rsidRPr="00F96E8D">
              <w:rPr>
                <w:rFonts w:ascii="Times New Roman" w:hAnsi="Times New Roman" w:cs="Times New Roman"/>
                <w:sz w:val="18"/>
                <w:szCs w:val="18"/>
              </w:rPr>
              <w:br/>
              <w:t>Процент</w:t>
            </w:r>
            <w:r w:rsidRPr="00F96E8D">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X</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0.0</w:t>
            </w:r>
          </w:p>
        </w:tc>
      </w:tr>
      <w:tr w:rsidR="00CE6994" w:rsidRPr="00F96E8D" w:rsidTr="00CE699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3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412"/>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sz w:val="18"/>
                <w:szCs w:val="18"/>
              </w:rPr>
              <w:t xml:space="preserve">  100.0</w:t>
            </w:r>
          </w:p>
        </w:tc>
      </w:tr>
      <w:tr w:rsidR="00CE6994" w:rsidRPr="00F96E8D" w:rsidTr="00CE699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1 163 849.7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56 821.4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269 302.9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26 034.4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4 640.7</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152 770.9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198 163.4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8 403.8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51 995.1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10 307.8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3 293.2</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153 912.4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r w:rsidR="00CE6994" w:rsidRPr="00F96E8D" w:rsidTr="00CE699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r w:rsidRPr="00F96E8D">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E6994" w:rsidRPr="00F96E8D" w:rsidRDefault="00CE6994" w:rsidP="00CE6994">
            <w:pPr>
              <w:widowControl w:val="0"/>
              <w:autoSpaceDE w:val="0"/>
              <w:autoSpaceDN w:val="0"/>
              <w:adjustRightInd w:val="0"/>
              <w:spacing w:after="0" w:line="240" w:lineRule="auto"/>
              <w:jc w:val="center"/>
              <w:rPr>
                <w:rFonts w:ascii="Arial" w:hAnsi="Arial" w:cs="Arial"/>
                <w:sz w:val="2"/>
                <w:szCs w:val="2"/>
              </w:rPr>
            </w:pPr>
            <w:r w:rsidRPr="00F96E8D">
              <w:rPr>
                <w:rFonts w:ascii="Times New Roman" w:hAnsi="Times New Roman" w:cs="Times New Roman"/>
                <w:b/>
                <w:bCs/>
                <w:sz w:val="18"/>
                <w:szCs w:val="18"/>
              </w:rPr>
              <w:t>х</w:t>
            </w:r>
          </w:p>
        </w:tc>
      </w:tr>
    </w:tbl>
    <w:p w:rsidR="00497A35" w:rsidRPr="00F96E8D" w:rsidRDefault="000B0371">
      <w:r w:rsidRPr="00F96E8D">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3607" w:rsidRPr="00F96E8D" w:rsidTr="009F5C05">
        <w:trPr>
          <w:trHeight w:val="287"/>
        </w:trPr>
        <w:tc>
          <w:tcPr>
            <w:tcW w:w="15640" w:type="dxa"/>
            <w:gridSpan w:val="11"/>
            <w:tcMar>
              <w:top w:w="0" w:type="dxa"/>
              <w:left w:w="0" w:type="dxa"/>
              <w:bottom w:w="0" w:type="dxa"/>
              <w:right w:w="0" w:type="dxa"/>
            </w:tcMar>
            <w:vAlign w:val="center"/>
          </w:tcPr>
          <w:p w:rsidR="00E93607" w:rsidRPr="00F96E8D" w:rsidRDefault="00E93607" w:rsidP="00BA1AED">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eastAsia="Times New Roman" w:hAnsi="Times New Roman" w:cs="Times New Roman"/>
                <w:bCs/>
                <w:sz w:val="26"/>
                <w:szCs w:val="26"/>
              </w:rPr>
              <w:lastRenderedPageBreak/>
              <w:br w:type="page"/>
            </w:r>
            <w:r w:rsidRPr="00F96E8D">
              <w:rPr>
                <w:rFonts w:ascii="Times New Roman" w:hAnsi="Times New Roman" w:cs="Times New Roman"/>
                <w:b/>
                <w:bCs/>
              </w:rPr>
              <w:t>ПАСПОРТ</w:t>
            </w:r>
          </w:p>
        </w:tc>
      </w:tr>
      <w:tr w:rsidR="00E93607" w:rsidRPr="00F96E8D" w:rsidTr="009F5C05">
        <w:trPr>
          <w:trHeight w:val="384"/>
        </w:trPr>
        <w:tc>
          <w:tcPr>
            <w:tcW w:w="15640" w:type="dxa"/>
            <w:gridSpan w:val="11"/>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2</w:t>
            </w:r>
          </w:p>
        </w:tc>
      </w:tr>
      <w:tr w:rsidR="00E93607" w:rsidRPr="00F96E8D" w:rsidTr="009F5C05">
        <w:trPr>
          <w:trHeight w:val="545"/>
        </w:trPr>
        <w:tc>
          <w:tcPr>
            <w:tcW w:w="15640" w:type="dxa"/>
            <w:gridSpan w:val="11"/>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Обеспечение управления муниципальными финансами</w:t>
            </w:r>
            <w:r w:rsidRPr="00F96E8D">
              <w:rPr>
                <w:rFonts w:ascii="Times New Roman" w:hAnsi="Times New Roman" w:cs="Times New Roman"/>
                <w:b/>
                <w:bCs/>
              </w:rPr>
              <w:br/>
            </w:r>
            <w:r w:rsidRPr="00F96E8D">
              <w:rPr>
                <w:rFonts w:ascii="Times New Roman" w:hAnsi="Times New Roman" w:cs="Times New Roman"/>
                <w:b/>
                <w:bCs/>
              </w:rPr>
              <w:br/>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Обеспечение управления муниципальными финансами</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Управление финансов Администрации Томского района</w:t>
            </w:r>
          </w:p>
        </w:tc>
      </w:tr>
      <w:tr w:rsidR="009F5C05" w:rsidRPr="00F96E8D"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F96E8D">
              <w:rPr>
                <w:rFonts w:ascii="Times New Roman" w:eastAsia="Times New Roman" w:hAnsi="Times New Roman" w:cs="Times New Roman"/>
                <w:sz w:val="20"/>
                <w:szCs w:val="20"/>
              </w:rPr>
              <w:br/>
              <w:t xml:space="preserve"> </w:t>
            </w:r>
          </w:p>
        </w:tc>
      </w:tr>
      <w:tr w:rsidR="009F5C05" w:rsidRPr="00F96E8D"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9F5C05" w:rsidRPr="00F96E8D"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F96E8D"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F96E8D"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1. Обеспечение работающих систем лицензионным сопровождением;</w:t>
            </w:r>
            <w:r w:rsidRPr="00F96E8D">
              <w:rPr>
                <w:rFonts w:ascii="Times New Roman" w:eastAsia="Times New Roman" w:hAnsi="Times New Roman" w:cs="Times New Roman"/>
                <w:sz w:val="20"/>
                <w:szCs w:val="20"/>
              </w:rPr>
              <w:br/>
              <w:t>2. Обеспечение информационного обмена</w:t>
            </w:r>
          </w:p>
        </w:tc>
      </w:tr>
      <w:tr w:rsidR="009F5C05" w:rsidRPr="00F96E8D"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2026</w:t>
            </w:r>
            <w:r w:rsidRPr="00F96E8D">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2027</w:t>
            </w:r>
            <w:r w:rsidRPr="00F96E8D">
              <w:rPr>
                <w:rFonts w:ascii="Times New Roman" w:eastAsia="Times New Roman" w:hAnsi="Times New Roman" w:cs="Times New Roman"/>
                <w:sz w:val="20"/>
                <w:szCs w:val="20"/>
              </w:rPr>
              <w:br/>
              <w:t>(прогноз)</w:t>
            </w:r>
          </w:p>
        </w:tc>
      </w:tr>
      <w:tr w:rsidR="009F5C05" w:rsidRPr="00F96E8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9F5C05" w:rsidRPr="00F96E8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Обеспечение информационного обмена</w:t>
            </w:r>
          </w:p>
        </w:tc>
      </w:tr>
      <w:tr w:rsidR="009F5C05" w:rsidRPr="00F96E8D"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 xml:space="preserve">  100.0</w:t>
            </w:r>
          </w:p>
        </w:tc>
      </w:tr>
      <w:tr w:rsidR="009F5C05" w:rsidRPr="00F96E8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нет</w:t>
            </w:r>
          </w:p>
        </w:tc>
      </w:tr>
      <w:tr w:rsidR="009F5C05" w:rsidRPr="00F96E8D"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2021 – 2025 годы и прогнозные 2026 и 2027 года</w:t>
            </w:r>
          </w:p>
        </w:tc>
      </w:tr>
      <w:tr w:rsidR="009F5C05" w:rsidRPr="00F96E8D"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2026</w:t>
            </w:r>
            <w:r w:rsidRPr="00F96E8D">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2027</w:t>
            </w:r>
            <w:r w:rsidRPr="00F96E8D">
              <w:rPr>
                <w:rFonts w:ascii="Times New Roman" w:eastAsia="Times New Roman" w:hAnsi="Times New Roman" w:cs="Times New Roman"/>
                <w:b/>
                <w:bCs/>
                <w:sz w:val="20"/>
                <w:szCs w:val="20"/>
              </w:rPr>
              <w:br/>
              <w:t>(прогноз)</w:t>
            </w:r>
          </w:p>
        </w:tc>
      </w:tr>
      <w:tr w:rsidR="009F5C05" w:rsidRPr="00F96E8D"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r>
      <w:tr w:rsidR="009F5C05" w:rsidRPr="00F96E8D"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0.0</w:t>
            </w:r>
          </w:p>
        </w:tc>
      </w:tr>
      <w:tr w:rsidR="009F5C05" w:rsidRPr="00F96E8D"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20"/>
                <w:szCs w:val="20"/>
              </w:rPr>
              <w:t xml:space="preserve">  3 117.1</w:t>
            </w:r>
          </w:p>
        </w:tc>
      </w:tr>
    </w:tbl>
    <w:p w:rsidR="00E93607" w:rsidRPr="00F96E8D" w:rsidRDefault="00E93607" w:rsidP="00A5562B">
      <w:pPr>
        <w:spacing w:after="0" w:line="240" w:lineRule="auto"/>
        <w:rPr>
          <w:rFonts w:ascii="Times New Roman" w:eastAsia="Times New Roman" w:hAnsi="Times New Roman" w:cs="Times New Roman"/>
          <w:bCs/>
          <w:sz w:val="26"/>
          <w:szCs w:val="26"/>
        </w:rPr>
        <w:sectPr w:rsidR="00E93607" w:rsidRPr="00F96E8D" w:rsidSect="00997F7D">
          <w:pgSz w:w="16838" w:h="11905" w:orient="landscape" w:code="9"/>
          <w:pgMar w:top="1361" w:right="851" w:bottom="567" w:left="567" w:header="720" w:footer="397" w:gutter="0"/>
          <w:cols w:space="720"/>
          <w:noEndnote/>
          <w:docGrid w:linePitch="299"/>
        </w:sectPr>
      </w:pPr>
    </w:p>
    <w:p w:rsidR="00A5562B" w:rsidRPr="00F96E8D"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F96E8D">
        <w:rPr>
          <w:rFonts w:ascii="Times New Roman" w:eastAsia="Times New Roman" w:hAnsi="Times New Roman" w:cs="Times New Roman"/>
          <w:b/>
          <w:szCs w:val="20"/>
        </w:rPr>
        <w:lastRenderedPageBreak/>
        <w:t>1. Характеристика сферы реализации подпрограммы 2, описание</w:t>
      </w:r>
    </w:p>
    <w:p w:rsidR="00A5562B" w:rsidRPr="00F96E8D"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F96E8D">
        <w:rPr>
          <w:rFonts w:ascii="Times New Roman" w:eastAsia="Times New Roman" w:hAnsi="Times New Roman" w:cs="Times New Roman"/>
          <w:b/>
          <w:szCs w:val="20"/>
        </w:rPr>
        <w:t>основных проблем в указанной сфере и прогноз ее развития</w:t>
      </w:r>
    </w:p>
    <w:p w:rsidR="00A5562B" w:rsidRPr="00F96E8D"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В соответствии с частью 5 статьи 99 Федерального закона от 05.04.2013 N 44-ФЗ</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F96E8D">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ПАРУС-Бюджет 8</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в сети Интернет проект</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Бюджет для граждан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Томский район</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rsidR="00A5562B" w:rsidRPr="00F96E8D"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96E8D">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Для работы в системе</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Электронный бюджет</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A5562B" w:rsidRPr="00F96E8D"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F96E8D">
        <w:rPr>
          <w:rFonts w:ascii="Times New Roman" w:eastAsia="Times New Roman" w:hAnsi="Times New Roman" w:cs="Times New Roman"/>
          <w:szCs w:val="20"/>
        </w:rPr>
        <w:t>Объем финансирования подпрограммы 2 приведен в разделе 3</w:t>
      </w:r>
      <w:r w:rsidR="00CC741F" w:rsidRPr="00F96E8D">
        <w:rPr>
          <w:rFonts w:ascii="Times New Roman" w:eastAsia="Times New Roman" w:hAnsi="Times New Roman" w:cs="Times New Roman"/>
          <w:szCs w:val="20"/>
        </w:rPr>
        <w:t xml:space="preserve"> «</w:t>
      </w:r>
      <w:r w:rsidRPr="00F96E8D">
        <w:rPr>
          <w:rFonts w:ascii="Times New Roman" w:eastAsia="Times New Roman" w:hAnsi="Times New Roman" w:cs="Times New Roman"/>
          <w:szCs w:val="20"/>
        </w:rPr>
        <w:t>Ресурсное обеспечение реализации подпрограммы 2</w:t>
      </w:r>
      <w:r w:rsidR="00CC741F" w:rsidRPr="00F96E8D">
        <w:rPr>
          <w:rFonts w:ascii="Times New Roman" w:eastAsia="Times New Roman" w:hAnsi="Times New Roman" w:cs="Times New Roman"/>
          <w:szCs w:val="20"/>
        </w:rPr>
        <w:t>»</w:t>
      </w:r>
      <w:r w:rsidRPr="00F96E8D">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A5562B" w:rsidRPr="00F96E8D" w:rsidRDefault="00A5562B" w:rsidP="00A5562B">
      <w:pPr>
        <w:spacing w:after="0" w:line="240" w:lineRule="auto"/>
        <w:rPr>
          <w:rFonts w:ascii="Times New Roman" w:eastAsia="Times New Roman" w:hAnsi="Times New Roman" w:cs="Times New Roman"/>
          <w:bCs/>
          <w:sz w:val="26"/>
          <w:szCs w:val="26"/>
        </w:rPr>
        <w:sectPr w:rsidR="00A5562B" w:rsidRPr="00F96E8D"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93607" w:rsidRPr="00F96E8D" w:rsidTr="00860206">
        <w:trPr>
          <w:trHeight w:val="869"/>
        </w:trPr>
        <w:tc>
          <w:tcPr>
            <w:tcW w:w="15609" w:type="dxa"/>
            <w:gridSpan w:val="8"/>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F96E8D">
              <w:rPr>
                <w:rFonts w:ascii="Times New Roman" w:hAnsi="Times New Roman" w:cs="Times New Roman"/>
                <w:b/>
                <w:bCs/>
              </w:rPr>
              <w:lastRenderedPageBreak/>
              <w:t>Перечень показателей цели и задач подпрограммы 2 и сведения о порядке сбора информации по показателям</w:t>
            </w:r>
          </w:p>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и методике их расчета</w:t>
            </w:r>
          </w:p>
        </w:tc>
      </w:tr>
      <w:tr w:rsidR="00E93607" w:rsidRPr="00F96E8D"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Ответственный за сбор данных по показателю</w:t>
            </w:r>
          </w:p>
        </w:tc>
      </w:tr>
      <w:tr w:rsidR="00E93607" w:rsidRPr="00F96E8D"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sz w:val="20"/>
                <w:szCs w:val="20"/>
              </w:rPr>
              <w:t>8</w:t>
            </w:r>
          </w:p>
        </w:tc>
      </w:tr>
      <w:tr w:rsidR="00E93607" w:rsidRPr="00F96E8D"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r w:rsidR="00E93607" w:rsidRPr="00F96E8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U = A/B*100, где:</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A –  общее количество систем;</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r w:rsidR="00E93607" w:rsidRPr="00F96E8D"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b/>
                <w:bCs/>
                <w:sz w:val="20"/>
                <w:szCs w:val="20"/>
              </w:rPr>
              <w:t>Показатели задачи 2 подпрограммы 2 Обеспечение информационного обмена</w:t>
            </w:r>
          </w:p>
        </w:tc>
      </w:tr>
      <w:tr w:rsidR="00E93607" w:rsidRPr="00F96E8D"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U = A/B*100, где:</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96E8D">
              <w:rPr>
                <w:rFonts w:ascii="Times New Roman" w:hAnsi="Times New Roman" w:cs="Times New Roman"/>
                <w:sz w:val="20"/>
                <w:szCs w:val="20"/>
              </w:rPr>
              <w:t>A –  общее количество ГРБС;</w:t>
            </w:r>
          </w:p>
          <w:p w:rsidR="00E93607" w:rsidRPr="00F96E8D"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96E8D">
              <w:rPr>
                <w:rFonts w:ascii="Times New Roman" w:hAnsi="Times New Roman" w:cs="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sz w:val="20"/>
                <w:szCs w:val="20"/>
              </w:rPr>
              <w:t>Управление финансов Администрации Томского района</w:t>
            </w:r>
          </w:p>
        </w:tc>
      </w:tr>
    </w:tbl>
    <w:p w:rsidR="00A5562B" w:rsidRPr="00F96E8D" w:rsidRDefault="00A5562B" w:rsidP="00A5562B">
      <w:pPr>
        <w:rPr>
          <w:rFonts w:ascii="Times New Roman" w:hAnsi="Times New Roman" w:cs="Times New Roman"/>
        </w:rPr>
      </w:pPr>
      <w:r w:rsidRPr="00F96E8D">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ПОДПРОГРАММЫ 2</w:t>
            </w:r>
          </w:p>
        </w:tc>
      </w:tr>
      <w:tr w:rsidR="00E93607" w:rsidRPr="00F96E8D" w:rsidTr="009F5C05">
        <w:trPr>
          <w:trHeight w:val="288"/>
        </w:trPr>
        <w:tc>
          <w:tcPr>
            <w:tcW w:w="15661" w:type="dxa"/>
            <w:gridSpan w:val="13"/>
            <w:tcMar>
              <w:top w:w="0" w:type="dxa"/>
              <w:left w:w="0" w:type="dxa"/>
              <w:bottom w:w="0" w:type="dxa"/>
              <w:right w:w="0" w:type="dxa"/>
            </w:tcMar>
            <w:vAlign w:val="center"/>
          </w:tcPr>
          <w:p w:rsidR="00E93607" w:rsidRPr="00F96E8D"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F96E8D">
              <w:rPr>
                <w:rFonts w:ascii="Times New Roman" w:hAnsi="Times New Roman" w:cs="Times New Roman"/>
                <w:b/>
                <w:bCs/>
              </w:rPr>
              <w:t>Обеспечение управления муниципальными финансами</w:t>
            </w:r>
            <w:r w:rsidRPr="00F96E8D">
              <w:rPr>
                <w:rFonts w:ascii="Times New Roman" w:hAnsi="Times New Roman" w:cs="Times New Roman"/>
                <w:b/>
                <w:bCs/>
              </w:rPr>
              <w:br/>
            </w:r>
          </w:p>
        </w:tc>
      </w:tr>
      <w:tr w:rsidR="009F5C05" w:rsidRPr="00F96E8D"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F5C05" w:rsidRPr="00F96E8D"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значения по годам реализации</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12</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F96E8D">
              <w:rPr>
                <w:rFonts w:ascii="Times New Roman" w:eastAsia="Times New Roman" w:hAnsi="Times New Roman" w:cs="Times New Roman"/>
                <w:sz w:val="18"/>
                <w:szCs w:val="18"/>
              </w:rPr>
              <w:br/>
              <w:t>Процент</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Количество сбоев (простоев) в работе систем,</w:t>
            </w:r>
            <w:r w:rsidRPr="00F96E8D">
              <w:rPr>
                <w:rFonts w:ascii="Times New Roman" w:eastAsia="Times New Roman" w:hAnsi="Times New Roman" w:cs="Times New Roman"/>
                <w:sz w:val="18"/>
                <w:szCs w:val="18"/>
              </w:rPr>
              <w:br/>
              <w:t>Дней</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X</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r w:rsidRPr="00F96E8D">
              <w:rPr>
                <w:rFonts w:ascii="Times New Roman" w:eastAsia="Times New Roman" w:hAnsi="Times New Roman" w:cs="Times New Roman"/>
                <w:sz w:val="20"/>
                <w:szCs w:val="20"/>
              </w:rPr>
              <w:t>ЗАДАЧА 2 подпрограммы 2 Обеспечение информационного обмена</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F96E8D">
              <w:rPr>
                <w:rFonts w:ascii="Times New Roman" w:eastAsia="Times New Roman" w:hAnsi="Times New Roman" w:cs="Times New Roman"/>
                <w:sz w:val="18"/>
                <w:szCs w:val="18"/>
              </w:rPr>
              <w:br/>
              <w:t>Процент</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100.0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Количество перерыров в работе,</w:t>
            </w:r>
            <w:r w:rsidRPr="00F96E8D">
              <w:rPr>
                <w:rFonts w:ascii="Times New Roman" w:eastAsia="Times New Roman" w:hAnsi="Times New Roman" w:cs="Times New Roman"/>
                <w:sz w:val="18"/>
                <w:szCs w:val="18"/>
              </w:rPr>
              <w:br/>
              <w:t>Сутки</w:t>
            </w:r>
            <w:r w:rsidRPr="00F96E8D">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X</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sz w:val="18"/>
                <w:szCs w:val="18"/>
              </w:rPr>
              <w:t xml:space="preserve">  0.0</w:t>
            </w:r>
          </w:p>
        </w:tc>
      </w:tr>
      <w:tr w:rsidR="009F5C05" w:rsidRPr="00F96E8D"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r w:rsidR="009F5C05" w:rsidRPr="00F96E8D"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F96E8D">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F96E8D"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F96E8D">
              <w:rPr>
                <w:rFonts w:ascii="Times New Roman" w:eastAsia="Times New Roman" w:hAnsi="Times New Roman" w:cs="Times New Roman"/>
                <w:b/>
                <w:bCs/>
                <w:sz w:val="18"/>
                <w:szCs w:val="18"/>
              </w:rPr>
              <w:t>х</w:t>
            </w:r>
          </w:p>
        </w:tc>
      </w:tr>
    </w:tbl>
    <w:p w:rsidR="00FF1C5D" w:rsidRPr="00F96E8D" w:rsidRDefault="00FF1C5D" w:rsidP="00E61B76">
      <w:pPr>
        <w:spacing w:after="0" w:line="240" w:lineRule="auto"/>
        <w:rPr>
          <w:rFonts w:ascii="Times New Roman" w:hAnsi="Times New Roman" w:cs="Times New Roman"/>
          <w:sz w:val="26"/>
          <w:szCs w:val="26"/>
        </w:rPr>
      </w:pPr>
      <w:bookmarkStart w:id="0" w:name="_GoBack"/>
      <w:bookmarkEnd w:id="0"/>
    </w:p>
    <w:sectPr w:rsidR="00FF1C5D" w:rsidRPr="00F96E8D" w:rsidSect="00E61B76">
      <w:pgSz w:w="16838" w:h="11905" w:orient="landscape" w:code="9"/>
      <w:pgMar w:top="1361" w:right="851" w:bottom="567" w:left="567"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E6" w:rsidRDefault="00C63AE6" w:rsidP="006849F5">
      <w:pPr>
        <w:spacing w:after="0" w:line="240" w:lineRule="auto"/>
      </w:pPr>
      <w:r>
        <w:separator/>
      </w:r>
    </w:p>
  </w:endnote>
  <w:endnote w:type="continuationSeparator" w:id="0">
    <w:p w:rsidR="00C63AE6" w:rsidRDefault="00C63AE6"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jc w:val="center"/>
    </w:pPr>
  </w:p>
  <w:p w:rsidR="00BB27BE" w:rsidRDefault="00BB27B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E6" w:rsidRDefault="00C63AE6" w:rsidP="006849F5">
      <w:pPr>
        <w:spacing w:after="0" w:line="240" w:lineRule="auto"/>
      </w:pPr>
      <w:r>
        <w:separator/>
      </w:r>
    </w:p>
  </w:footnote>
  <w:footnote w:type="continuationSeparator" w:id="0">
    <w:p w:rsidR="00C63AE6" w:rsidRDefault="00C63AE6"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Default="00BB27BE">
    <w:pPr>
      <w:pStyle w:val="a8"/>
      <w:jc w:val="center"/>
    </w:pPr>
  </w:p>
  <w:p w:rsidR="00BB27BE" w:rsidRDefault="00BB27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EndPr/>
    <w:sdtContent>
      <w:p w:rsidR="00BB27BE" w:rsidRDefault="00BB27BE">
        <w:pPr>
          <w:pStyle w:val="a8"/>
          <w:jc w:val="center"/>
        </w:pPr>
        <w:r>
          <w:fldChar w:fldCharType="begin"/>
        </w:r>
        <w:r>
          <w:instrText>PAGE   \* MERGEFORMAT</w:instrText>
        </w:r>
        <w:r>
          <w:fldChar w:fldCharType="separate"/>
        </w:r>
        <w:r w:rsidR="00E61B76">
          <w:rPr>
            <w:noProof/>
          </w:rPr>
          <w:t>41</w:t>
        </w:r>
        <w:r>
          <w:fldChar w:fldCharType="end"/>
        </w:r>
      </w:p>
    </w:sdtContent>
  </w:sdt>
  <w:p w:rsidR="00BB27BE" w:rsidRDefault="00BB27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E" w:rsidRPr="000A4B78" w:rsidRDefault="00BB27BE"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1F0"/>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0371"/>
    <w:rsid w:val="000B36BC"/>
    <w:rsid w:val="000B4C89"/>
    <w:rsid w:val="000B5566"/>
    <w:rsid w:val="000B6E90"/>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1681B"/>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AF1"/>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1FA3"/>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E60CE"/>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438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0982"/>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0E48"/>
    <w:rsid w:val="00562FF1"/>
    <w:rsid w:val="00563001"/>
    <w:rsid w:val="005658B2"/>
    <w:rsid w:val="00570B4D"/>
    <w:rsid w:val="005730B9"/>
    <w:rsid w:val="00581032"/>
    <w:rsid w:val="005816D2"/>
    <w:rsid w:val="00583F0A"/>
    <w:rsid w:val="005840A5"/>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20F6"/>
    <w:rsid w:val="005C4159"/>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33D"/>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3"/>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A71AD"/>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625"/>
    <w:rsid w:val="006F1B4B"/>
    <w:rsid w:val="006F2467"/>
    <w:rsid w:val="006F3BB2"/>
    <w:rsid w:val="006F3D86"/>
    <w:rsid w:val="006F65E6"/>
    <w:rsid w:val="006F6F6F"/>
    <w:rsid w:val="0070006C"/>
    <w:rsid w:val="00701502"/>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1F28"/>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B6EB3"/>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6716"/>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2A02"/>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2EBE"/>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67C4"/>
    <w:rsid w:val="00AA7259"/>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5498"/>
    <w:rsid w:val="00B16E5D"/>
    <w:rsid w:val="00B21A91"/>
    <w:rsid w:val="00B24F53"/>
    <w:rsid w:val="00B26462"/>
    <w:rsid w:val="00B26E18"/>
    <w:rsid w:val="00B2710D"/>
    <w:rsid w:val="00B27112"/>
    <w:rsid w:val="00B27BAB"/>
    <w:rsid w:val="00B27CC8"/>
    <w:rsid w:val="00B27F10"/>
    <w:rsid w:val="00B30797"/>
    <w:rsid w:val="00B30BAB"/>
    <w:rsid w:val="00B30C1C"/>
    <w:rsid w:val="00B3182B"/>
    <w:rsid w:val="00B33E4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4809"/>
    <w:rsid w:val="00B8517A"/>
    <w:rsid w:val="00B85DC5"/>
    <w:rsid w:val="00B86E58"/>
    <w:rsid w:val="00B87167"/>
    <w:rsid w:val="00B87B1F"/>
    <w:rsid w:val="00B87DCF"/>
    <w:rsid w:val="00B977AB"/>
    <w:rsid w:val="00BA1AED"/>
    <w:rsid w:val="00BA4161"/>
    <w:rsid w:val="00BA4E0F"/>
    <w:rsid w:val="00BA4E25"/>
    <w:rsid w:val="00BA5206"/>
    <w:rsid w:val="00BA6683"/>
    <w:rsid w:val="00BA7CBA"/>
    <w:rsid w:val="00BB1302"/>
    <w:rsid w:val="00BB27BE"/>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313"/>
    <w:rsid w:val="00C60764"/>
    <w:rsid w:val="00C60948"/>
    <w:rsid w:val="00C61262"/>
    <w:rsid w:val="00C6292B"/>
    <w:rsid w:val="00C634C1"/>
    <w:rsid w:val="00C63AE6"/>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E6994"/>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3C36"/>
    <w:rsid w:val="00D24BE8"/>
    <w:rsid w:val="00D2566D"/>
    <w:rsid w:val="00D25E52"/>
    <w:rsid w:val="00D30E20"/>
    <w:rsid w:val="00D313AB"/>
    <w:rsid w:val="00D319B2"/>
    <w:rsid w:val="00D322A9"/>
    <w:rsid w:val="00D32F51"/>
    <w:rsid w:val="00D33D48"/>
    <w:rsid w:val="00D34867"/>
    <w:rsid w:val="00D36D7C"/>
    <w:rsid w:val="00D379A4"/>
    <w:rsid w:val="00D403D9"/>
    <w:rsid w:val="00D44AA1"/>
    <w:rsid w:val="00D44ED1"/>
    <w:rsid w:val="00D45AB0"/>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4CEA"/>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054"/>
    <w:rsid w:val="00E46D4C"/>
    <w:rsid w:val="00E5162C"/>
    <w:rsid w:val="00E5168B"/>
    <w:rsid w:val="00E547D6"/>
    <w:rsid w:val="00E572BB"/>
    <w:rsid w:val="00E5743A"/>
    <w:rsid w:val="00E57DAB"/>
    <w:rsid w:val="00E60A04"/>
    <w:rsid w:val="00E61B76"/>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471"/>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96E8D"/>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651"/>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 w:type="numbering" w:customStyle="1" w:styleId="6">
    <w:name w:val="Нет списка6"/>
    <w:next w:val="a2"/>
    <w:uiPriority w:val="99"/>
    <w:semiHidden/>
    <w:unhideWhenUsed/>
    <w:rsid w:val="00B1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29FA-8640-49C8-9FE7-1F5881C9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Косач Алёна</cp:lastModifiedBy>
  <cp:revision>4</cp:revision>
  <cp:lastPrinted>2024-12-27T03:00:00Z</cp:lastPrinted>
  <dcterms:created xsi:type="dcterms:W3CDTF">2025-01-13T04:51:00Z</dcterms:created>
  <dcterms:modified xsi:type="dcterms:W3CDTF">2025-01-13T05:22:00Z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