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5"/>
        <w:gridCol w:w="3374"/>
        <w:gridCol w:w="3544"/>
        <w:gridCol w:w="2542"/>
        <w:gridCol w:w="1367"/>
        <w:gridCol w:w="3037"/>
      </w:tblGrid>
      <w:tr w:rsidR="001202BB" w:rsidRPr="008E08DB" w:rsidTr="008E08DB">
        <w:tc>
          <w:tcPr>
            <w:tcW w:w="14459" w:type="dxa"/>
            <w:gridSpan w:val="6"/>
          </w:tcPr>
          <w:p w:rsidR="001202BB" w:rsidRPr="008E08DB" w:rsidRDefault="001202BB" w:rsidP="00616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 xml:space="preserve">Информация о динамике показателей, предусмотренных «Майскими указами» Президента РФ» по итогам социально-экономического развития МО «Томский район» за </w:t>
            </w:r>
            <w:r w:rsidRPr="008E08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08DB">
              <w:rPr>
                <w:rFonts w:ascii="Times New Roman" w:hAnsi="Times New Roman" w:cs="Times New Roman"/>
                <w:b/>
              </w:rPr>
              <w:t xml:space="preserve"> </w:t>
            </w:r>
            <w:r w:rsidR="00616B9A">
              <w:rPr>
                <w:rFonts w:ascii="Times New Roman" w:hAnsi="Times New Roman" w:cs="Times New Roman"/>
                <w:b/>
              </w:rPr>
              <w:t>полугодие</w:t>
            </w:r>
            <w:r w:rsidRPr="008E08DB">
              <w:rPr>
                <w:rFonts w:ascii="Times New Roman" w:hAnsi="Times New Roman" w:cs="Times New Roman"/>
                <w:b/>
              </w:rPr>
              <w:t xml:space="preserve"> 2016 года</w:t>
            </w:r>
          </w:p>
        </w:tc>
      </w:tr>
      <w:tr w:rsidR="001202BB" w:rsidRPr="008E08DB" w:rsidTr="008E08DB">
        <w:tc>
          <w:tcPr>
            <w:tcW w:w="595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08D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08D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74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3544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Наименование показателя в соответствии с Распоряжением Губернатора Томской области от 18.07.2013 №245-р</w:t>
            </w:r>
          </w:p>
        </w:tc>
        <w:tc>
          <w:tcPr>
            <w:tcW w:w="2542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67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037" w:type="dxa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1 квартал 2016</w:t>
            </w:r>
          </w:p>
        </w:tc>
      </w:tr>
      <w:tr w:rsidR="001202BB" w:rsidRPr="008E08DB" w:rsidTr="008E08DB">
        <w:tc>
          <w:tcPr>
            <w:tcW w:w="14459" w:type="dxa"/>
            <w:gridSpan w:val="6"/>
          </w:tcPr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№596 «О долгосрочной государственной экономической политике»</w:t>
            </w:r>
          </w:p>
        </w:tc>
      </w:tr>
      <w:tr w:rsidR="001202BB" w:rsidRPr="008E08DB" w:rsidTr="008E08DB">
        <w:tc>
          <w:tcPr>
            <w:tcW w:w="595" w:type="dxa"/>
          </w:tcPr>
          <w:p w:rsidR="001202BB" w:rsidRPr="008E08DB" w:rsidRDefault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4" w:type="dxa"/>
          </w:tcPr>
          <w:p w:rsidR="001202BB" w:rsidRPr="008E08DB" w:rsidRDefault="001202BB" w:rsidP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Увеличение объема инвестиций не менее чем до 25 % внутреннего валового продукта к 2015 году и до 27 % - к 2018 году</w:t>
            </w:r>
          </w:p>
        </w:tc>
        <w:tc>
          <w:tcPr>
            <w:tcW w:w="3544" w:type="dxa"/>
          </w:tcPr>
          <w:p w:rsidR="001202BB" w:rsidRPr="008E08DB" w:rsidRDefault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Увеличение объема инвестиций более 25 % от валового регионального продукта к 2015 году и более 27 % - к 2018 году</w:t>
            </w:r>
          </w:p>
        </w:tc>
        <w:tc>
          <w:tcPr>
            <w:tcW w:w="2542" w:type="dxa"/>
          </w:tcPr>
          <w:p w:rsidR="001202BB" w:rsidRPr="008E08DB" w:rsidRDefault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367" w:type="dxa"/>
          </w:tcPr>
          <w:p w:rsidR="009B7FCF" w:rsidRPr="008E08DB" w:rsidRDefault="009B7FCF" w:rsidP="001202BB">
            <w:pPr>
              <w:jc w:val="center"/>
              <w:rPr>
                <w:rFonts w:ascii="Times New Roman" w:hAnsi="Times New Roman" w:cs="Times New Roman"/>
              </w:rPr>
            </w:pPr>
          </w:p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037" w:type="dxa"/>
          </w:tcPr>
          <w:p w:rsidR="009B7FCF" w:rsidRPr="008E08DB" w:rsidRDefault="009B7FCF" w:rsidP="001202BB">
            <w:pPr>
              <w:jc w:val="center"/>
              <w:rPr>
                <w:rFonts w:ascii="Times New Roman" w:hAnsi="Times New Roman" w:cs="Times New Roman"/>
              </w:rPr>
            </w:pPr>
          </w:p>
          <w:p w:rsidR="001202BB" w:rsidRPr="008E08DB" w:rsidRDefault="001202BB" w:rsidP="001202BB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588 488,00</w:t>
            </w:r>
            <w:r w:rsidR="00616B9A">
              <w:rPr>
                <w:rFonts w:ascii="Times New Roman" w:hAnsi="Times New Roman" w:cs="Times New Roman"/>
              </w:rPr>
              <w:t xml:space="preserve"> (за 1 квартал)</w:t>
            </w:r>
          </w:p>
        </w:tc>
      </w:tr>
      <w:tr w:rsidR="001202BB" w:rsidRPr="008E08DB" w:rsidTr="008E08DB">
        <w:tc>
          <w:tcPr>
            <w:tcW w:w="14459" w:type="dxa"/>
            <w:gridSpan w:val="6"/>
          </w:tcPr>
          <w:p w:rsidR="001202BB" w:rsidRPr="008E08DB" w:rsidRDefault="006F1074" w:rsidP="006F1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№597 «О мероприятиях по реализации государственной социальной политики»</w:t>
            </w:r>
          </w:p>
        </w:tc>
      </w:tr>
      <w:tr w:rsidR="001202BB" w:rsidRPr="008E08DB" w:rsidTr="008E08DB">
        <w:trPr>
          <w:trHeight w:val="591"/>
        </w:trPr>
        <w:tc>
          <w:tcPr>
            <w:tcW w:w="595" w:type="dxa"/>
          </w:tcPr>
          <w:p w:rsidR="001202BB" w:rsidRPr="008E08DB" w:rsidRDefault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4" w:type="dxa"/>
          </w:tcPr>
          <w:p w:rsidR="001202BB" w:rsidRPr="008E08DB" w:rsidRDefault="009B7FCF" w:rsidP="001202BB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Увеличение к 2018 году размера реальной заработной платы в 1,4-1,5 раза</w:t>
            </w:r>
          </w:p>
        </w:tc>
        <w:tc>
          <w:tcPr>
            <w:tcW w:w="3544" w:type="dxa"/>
          </w:tcPr>
          <w:p w:rsidR="001202BB" w:rsidRPr="008E08DB" w:rsidRDefault="009B7FCF" w:rsidP="009B7FCF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Увеличение размера реальной заработной платы в 1,4-1,5 раза</w:t>
            </w:r>
          </w:p>
        </w:tc>
        <w:tc>
          <w:tcPr>
            <w:tcW w:w="2542" w:type="dxa"/>
          </w:tcPr>
          <w:p w:rsidR="001202BB" w:rsidRPr="008E08DB" w:rsidRDefault="009B7FCF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Реальная заработная плата по крупным и средним предприятиям</w:t>
            </w:r>
          </w:p>
        </w:tc>
        <w:tc>
          <w:tcPr>
            <w:tcW w:w="1367" w:type="dxa"/>
          </w:tcPr>
          <w:p w:rsidR="009B7FCF" w:rsidRPr="008E08DB" w:rsidRDefault="009B7FCF" w:rsidP="001202BB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1202BB" w:rsidRPr="008E08DB" w:rsidRDefault="009B7FCF" w:rsidP="001202BB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3037" w:type="dxa"/>
          </w:tcPr>
          <w:p w:rsidR="00623C10" w:rsidRPr="008E08DB" w:rsidRDefault="00623C10" w:rsidP="001202BB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1202BB" w:rsidRPr="008E08DB" w:rsidRDefault="00623C10" w:rsidP="001202BB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1,18</w:t>
            </w:r>
            <w:r w:rsidR="00616B9A">
              <w:rPr>
                <w:rStyle w:val="75pt"/>
                <w:rFonts w:eastAsiaTheme="minorHAnsi"/>
                <w:sz w:val="22"/>
                <w:szCs w:val="22"/>
              </w:rPr>
              <w:t xml:space="preserve"> (за 1 квартал)</w:t>
            </w:r>
            <w:r w:rsidR="00D72D28" w:rsidRPr="008E08DB">
              <w:rPr>
                <w:rStyle w:val="75pt"/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876749" w:rsidRPr="008E08DB" w:rsidTr="008E08DB">
        <w:trPr>
          <w:trHeight w:val="672"/>
        </w:trPr>
        <w:tc>
          <w:tcPr>
            <w:tcW w:w="595" w:type="dxa"/>
          </w:tcPr>
          <w:p w:rsidR="00876749" w:rsidRPr="008E08DB" w:rsidRDefault="00B35FA4" w:rsidP="0087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4" w:type="dxa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Увеличение к 2018 году размера реальной заработной платы в 1,4-1,5 раза</w:t>
            </w:r>
          </w:p>
        </w:tc>
        <w:tc>
          <w:tcPr>
            <w:tcW w:w="3544" w:type="dxa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Увеличение размера реальной заработной платы в 1,4-1,5 раза</w:t>
            </w:r>
          </w:p>
        </w:tc>
        <w:tc>
          <w:tcPr>
            <w:tcW w:w="2542" w:type="dxa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Реальная заработная плата по крупным и средним предприятиям</w:t>
            </w:r>
          </w:p>
        </w:tc>
        <w:tc>
          <w:tcPr>
            <w:tcW w:w="136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03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1,2</w:t>
            </w:r>
          </w:p>
        </w:tc>
      </w:tr>
      <w:tr w:rsidR="00876749" w:rsidRPr="008E08DB" w:rsidTr="008E08DB">
        <w:tc>
          <w:tcPr>
            <w:tcW w:w="595" w:type="dxa"/>
            <w:vMerge w:val="restart"/>
          </w:tcPr>
          <w:p w:rsidR="00876749" w:rsidRPr="008E08DB" w:rsidRDefault="00B35FA4" w:rsidP="0087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4" w:type="dxa"/>
            <w:vMerge w:val="restart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Доведение к 2018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</w:t>
            </w:r>
          </w:p>
        </w:tc>
        <w:tc>
          <w:tcPr>
            <w:tcW w:w="3544" w:type="dxa"/>
            <w:vMerge w:val="restart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 xml:space="preserve">Сохранение уровня средней заработной платы педагогических работников дошкольных образовательных учреждений </w:t>
            </w:r>
            <w:proofErr w:type="gramStart"/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соответствующим</w:t>
            </w:r>
            <w:proofErr w:type="gramEnd"/>
            <w:r w:rsidRPr="008E08DB">
              <w:rPr>
                <w:rStyle w:val="75pt"/>
                <w:rFonts w:eastAsiaTheme="minorEastAsia"/>
                <w:sz w:val="22"/>
                <w:szCs w:val="22"/>
              </w:rPr>
              <w:t xml:space="preserve"> уровню средней заработной платы в сфере общего образования в Томской области</w:t>
            </w:r>
          </w:p>
        </w:tc>
        <w:tc>
          <w:tcPr>
            <w:tcW w:w="2542" w:type="dxa"/>
          </w:tcPr>
          <w:p w:rsidR="00876749" w:rsidRPr="008E08DB" w:rsidRDefault="00876749" w:rsidP="008E08DB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36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303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26470,0</w:t>
            </w:r>
          </w:p>
        </w:tc>
      </w:tr>
      <w:tr w:rsidR="00876749" w:rsidRPr="008E08DB" w:rsidTr="008E08DB">
        <w:tc>
          <w:tcPr>
            <w:tcW w:w="595" w:type="dxa"/>
            <w:vMerge/>
          </w:tcPr>
          <w:p w:rsidR="00876749" w:rsidRPr="008E08DB" w:rsidRDefault="00876749" w:rsidP="0087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</w:tcPr>
          <w:p w:rsidR="00876749" w:rsidRPr="008E08DB" w:rsidRDefault="00876749" w:rsidP="00876749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876749" w:rsidRPr="008E08DB" w:rsidRDefault="00876749" w:rsidP="00876749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2542" w:type="dxa"/>
          </w:tcPr>
          <w:p w:rsidR="00876749" w:rsidRPr="008E08DB" w:rsidRDefault="00876749" w:rsidP="00876749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Средняя заработная плата педагогических работников общеобразовательных учреждений</w:t>
            </w:r>
          </w:p>
        </w:tc>
        <w:tc>
          <w:tcPr>
            <w:tcW w:w="1367" w:type="dxa"/>
          </w:tcPr>
          <w:p w:rsidR="00876749" w:rsidRPr="008E08DB" w:rsidRDefault="00876749" w:rsidP="00876749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3037" w:type="dxa"/>
          </w:tcPr>
          <w:p w:rsidR="00876749" w:rsidRPr="008E08DB" w:rsidRDefault="00876749" w:rsidP="00876749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31284,0</w:t>
            </w:r>
          </w:p>
        </w:tc>
      </w:tr>
      <w:tr w:rsidR="006F1074" w:rsidRPr="008E08DB" w:rsidTr="008E08DB">
        <w:tc>
          <w:tcPr>
            <w:tcW w:w="14459" w:type="dxa"/>
            <w:gridSpan w:val="6"/>
          </w:tcPr>
          <w:p w:rsidR="006F1074" w:rsidRPr="008E08DB" w:rsidRDefault="006F1074" w:rsidP="006F1074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№599 «О мерах по реализации государственной политики в области образования и науки»</w:t>
            </w:r>
          </w:p>
        </w:tc>
      </w:tr>
      <w:tr w:rsidR="00876749" w:rsidRPr="008E08DB" w:rsidTr="008E08DB">
        <w:trPr>
          <w:trHeight w:val="1582"/>
        </w:trPr>
        <w:tc>
          <w:tcPr>
            <w:tcW w:w="595" w:type="dxa"/>
          </w:tcPr>
          <w:p w:rsidR="00876749" w:rsidRPr="008E08DB" w:rsidRDefault="00B35FA4" w:rsidP="0087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4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Достижение к 2016 году 100 процентов доступности дошкольного образования для детей в возрасте от трёх до семи лет</w:t>
            </w:r>
          </w:p>
        </w:tc>
        <w:tc>
          <w:tcPr>
            <w:tcW w:w="3544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Достижение 100 процентов доступности дошкольного образования для детей в возрасте от трёх до семи лет</w:t>
            </w:r>
          </w:p>
        </w:tc>
        <w:tc>
          <w:tcPr>
            <w:tcW w:w="2542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Доля детей в возрасте от трёх до семи лет, посещающих дошкольные образовательные учреждения</w:t>
            </w:r>
          </w:p>
        </w:tc>
        <w:tc>
          <w:tcPr>
            <w:tcW w:w="1367" w:type="dxa"/>
          </w:tcPr>
          <w:p w:rsidR="00876749" w:rsidRPr="008E08DB" w:rsidRDefault="00876749" w:rsidP="008E08DB">
            <w:pPr>
              <w:jc w:val="center"/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03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100</w:t>
            </w:r>
          </w:p>
        </w:tc>
      </w:tr>
      <w:tr w:rsidR="00876749" w:rsidRPr="008E08DB" w:rsidTr="008E08DB">
        <w:tc>
          <w:tcPr>
            <w:tcW w:w="595" w:type="dxa"/>
          </w:tcPr>
          <w:p w:rsidR="00876749" w:rsidRPr="008E08DB" w:rsidRDefault="00B35FA4" w:rsidP="0087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374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счёт бюджетных ассигнований федерального бюджета</w:t>
            </w:r>
          </w:p>
        </w:tc>
        <w:tc>
          <w:tcPr>
            <w:tcW w:w="3544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счёт бюджетных ассигнований федерального бюджета</w:t>
            </w:r>
          </w:p>
        </w:tc>
        <w:tc>
          <w:tcPr>
            <w:tcW w:w="2542" w:type="dxa"/>
          </w:tcPr>
          <w:p w:rsidR="00876749" w:rsidRPr="008E08DB" w:rsidRDefault="00876749" w:rsidP="00876749">
            <w:pPr>
              <w:pStyle w:val="1"/>
              <w:shd w:val="clear" w:color="auto" w:fill="auto"/>
              <w:spacing w:line="206" w:lineRule="exact"/>
              <w:ind w:left="40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36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037" w:type="dxa"/>
          </w:tcPr>
          <w:p w:rsidR="00876749" w:rsidRPr="008E08DB" w:rsidRDefault="00876749" w:rsidP="008E08DB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46</w:t>
            </w:r>
          </w:p>
        </w:tc>
      </w:tr>
      <w:tr w:rsidR="006F1074" w:rsidRPr="008E08DB" w:rsidTr="008E08DB">
        <w:tc>
          <w:tcPr>
            <w:tcW w:w="14459" w:type="dxa"/>
            <w:gridSpan w:val="6"/>
          </w:tcPr>
          <w:p w:rsidR="006F1074" w:rsidRPr="008E08DB" w:rsidRDefault="006F1074" w:rsidP="003F7774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 601 «Об основных направлениях</w:t>
            </w:r>
            <w:r w:rsidR="003F7774" w:rsidRPr="008E08DB">
              <w:rPr>
                <w:rFonts w:ascii="Times New Roman" w:hAnsi="Times New Roman" w:cs="Times New Roman"/>
                <w:b/>
              </w:rPr>
              <w:t xml:space="preserve"> совершенствования системы государственного управления</w:t>
            </w:r>
            <w:r w:rsidRPr="008E08D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51440" w:rsidRPr="008E08DB" w:rsidTr="008E08DB">
        <w:tc>
          <w:tcPr>
            <w:tcW w:w="595" w:type="dxa"/>
          </w:tcPr>
          <w:p w:rsidR="00551440" w:rsidRPr="008E08DB" w:rsidRDefault="00B35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74" w:type="dxa"/>
          </w:tcPr>
          <w:p w:rsidR="00551440" w:rsidRPr="008E08DB" w:rsidRDefault="00551440" w:rsidP="00340DA6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Уровень удовлетворенности граждан Российской Федерации (далее – граждане) качеством предоставления государственных и муниципальных услуг к 2018 году – не менее 90 процентов</w:t>
            </w:r>
          </w:p>
        </w:tc>
        <w:tc>
          <w:tcPr>
            <w:tcW w:w="3544" w:type="dxa"/>
          </w:tcPr>
          <w:p w:rsidR="00551440" w:rsidRPr="008E08DB" w:rsidRDefault="00551440" w:rsidP="00340DA6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Уровень удовлетворенности граждан Российской Федерации (далее – граждане) качеством предоставления государственных и муниципальных услуг к 2018 году – не менее 90 процентов</w:t>
            </w:r>
          </w:p>
        </w:tc>
        <w:tc>
          <w:tcPr>
            <w:tcW w:w="2542" w:type="dxa"/>
          </w:tcPr>
          <w:p w:rsidR="00551440" w:rsidRPr="008E08DB" w:rsidRDefault="00551440" w:rsidP="00340DA6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Удовлетворенность граждан деятельностью органов местного самоуправления</w:t>
            </w:r>
          </w:p>
        </w:tc>
        <w:tc>
          <w:tcPr>
            <w:tcW w:w="1367" w:type="dxa"/>
          </w:tcPr>
          <w:p w:rsidR="00551440" w:rsidRPr="008E08DB" w:rsidRDefault="00551440" w:rsidP="00340DA6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3037" w:type="dxa"/>
          </w:tcPr>
          <w:p w:rsidR="00551440" w:rsidRPr="008E08DB" w:rsidRDefault="008E08DB" w:rsidP="001202BB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94</w:t>
            </w:r>
          </w:p>
        </w:tc>
      </w:tr>
      <w:tr w:rsidR="009B7FCF" w:rsidRPr="008E08DB" w:rsidTr="008E08DB">
        <w:tc>
          <w:tcPr>
            <w:tcW w:w="14459" w:type="dxa"/>
            <w:gridSpan w:val="6"/>
          </w:tcPr>
          <w:p w:rsidR="009B7FCF" w:rsidRPr="008E08DB" w:rsidRDefault="009B7FCF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 606 «О мерах по реализации демографической политики Российской Федерации»</w:t>
            </w:r>
          </w:p>
        </w:tc>
      </w:tr>
      <w:tr w:rsidR="001202BB" w:rsidRPr="008E08DB" w:rsidTr="008E08DB">
        <w:tc>
          <w:tcPr>
            <w:tcW w:w="595" w:type="dxa"/>
          </w:tcPr>
          <w:p w:rsidR="001202BB" w:rsidRPr="008E08DB" w:rsidRDefault="00B35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74" w:type="dxa"/>
          </w:tcPr>
          <w:p w:rsidR="001202BB" w:rsidRPr="008E08DB" w:rsidRDefault="009B7FCF" w:rsidP="001202BB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Обеспечить повышение к 2018 году суммарного коэффициента рождаемости до 1.753</w:t>
            </w:r>
          </w:p>
        </w:tc>
        <w:tc>
          <w:tcPr>
            <w:tcW w:w="3544" w:type="dxa"/>
          </w:tcPr>
          <w:p w:rsidR="001202BB" w:rsidRPr="008E08DB" w:rsidRDefault="009B7FCF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Повышение суммарного коэффициента рождаемости до 1.753</w:t>
            </w:r>
          </w:p>
        </w:tc>
        <w:tc>
          <w:tcPr>
            <w:tcW w:w="2542" w:type="dxa"/>
          </w:tcPr>
          <w:p w:rsidR="001202BB" w:rsidRPr="008E08DB" w:rsidRDefault="009B7FCF" w:rsidP="009B7FCF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Коэффициент рождаемости (число родившихся на 1000 человек)</w:t>
            </w:r>
          </w:p>
        </w:tc>
        <w:tc>
          <w:tcPr>
            <w:tcW w:w="1367" w:type="dxa"/>
          </w:tcPr>
          <w:p w:rsidR="001202BB" w:rsidRPr="008E08DB" w:rsidRDefault="009B7FCF" w:rsidP="009B7FCF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число родившихся на 1000 человек населения</w:t>
            </w:r>
          </w:p>
        </w:tc>
        <w:tc>
          <w:tcPr>
            <w:tcW w:w="3037" w:type="dxa"/>
          </w:tcPr>
          <w:p w:rsidR="009B7FCF" w:rsidRPr="008E08DB" w:rsidRDefault="009B7FCF" w:rsidP="001202BB">
            <w:pPr>
              <w:jc w:val="center"/>
              <w:rPr>
                <w:rFonts w:ascii="Times New Roman" w:hAnsi="Times New Roman" w:cs="Times New Roman"/>
              </w:rPr>
            </w:pPr>
          </w:p>
          <w:p w:rsidR="001202BB" w:rsidRPr="008E08DB" w:rsidRDefault="009B7FCF" w:rsidP="001202BB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13,9</w:t>
            </w:r>
            <w:r w:rsidR="00616B9A">
              <w:rPr>
                <w:rFonts w:ascii="Times New Roman" w:hAnsi="Times New Roman" w:cs="Times New Roman"/>
              </w:rPr>
              <w:t xml:space="preserve"> (за 1 квартал)</w:t>
            </w:r>
          </w:p>
        </w:tc>
      </w:tr>
      <w:tr w:rsidR="00EC69CB" w:rsidRPr="008E08DB" w:rsidTr="004323EC">
        <w:tc>
          <w:tcPr>
            <w:tcW w:w="14459" w:type="dxa"/>
            <w:gridSpan w:val="6"/>
          </w:tcPr>
          <w:p w:rsidR="00EC69CB" w:rsidRPr="008E08DB" w:rsidRDefault="00EC69CB" w:rsidP="001202BB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  <w:gridCol w:w="992"/>
        <w:gridCol w:w="993"/>
        <w:gridCol w:w="992"/>
        <w:gridCol w:w="1134"/>
      </w:tblGrid>
      <w:tr w:rsidR="00EC69CB" w:rsidTr="00B35FA4">
        <w:trPr>
          <w:trHeight w:val="803"/>
        </w:trPr>
        <w:tc>
          <w:tcPr>
            <w:tcW w:w="7513" w:type="dxa"/>
            <w:tcBorders>
              <w:bottom w:val="single" w:sz="4" w:space="0" w:color="auto"/>
            </w:tcBorders>
          </w:tcPr>
          <w:p w:rsidR="00EC69CB" w:rsidRPr="00EC69CB" w:rsidRDefault="00EC69CB" w:rsidP="00AD7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9CB">
              <w:rPr>
                <w:rFonts w:ascii="Times New Roman" w:hAnsi="Times New Roman" w:cs="Times New Roman"/>
                <w:b/>
              </w:rPr>
              <w:t xml:space="preserve"> Содержание поручения/указания</w:t>
            </w:r>
          </w:p>
          <w:p w:rsidR="00EC69CB" w:rsidRPr="00EC69CB" w:rsidRDefault="00EC69CB" w:rsidP="00EC6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9C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EC69CB" w:rsidRPr="00EC69CB" w:rsidRDefault="00EC69CB" w:rsidP="00EC69CB">
            <w:pPr>
              <w:rPr>
                <w:rFonts w:ascii="Times New Roman" w:hAnsi="Times New Roman" w:cs="Times New Roman"/>
                <w:b/>
              </w:rPr>
            </w:pPr>
            <w:r w:rsidRPr="00EC69CB">
              <w:rPr>
                <w:rFonts w:ascii="Times New Roman" w:hAnsi="Times New Roman" w:cs="Times New Roman"/>
                <w:b/>
              </w:rPr>
              <w:t>Информация об исполнении и проведённых мероприятиях</w:t>
            </w:r>
          </w:p>
        </w:tc>
      </w:tr>
      <w:tr w:rsidR="00EC69CB" w:rsidRPr="006459B8" w:rsidTr="00EC69CB">
        <w:trPr>
          <w:trHeight w:val="2370"/>
        </w:trPr>
        <w:tc>
          <w:tcPr>
            <w:tcW w:w="7513" w:type="dxa"/>
            <w:tcBorders>
              <w:bottom w:val="nil"/>
            </w:tcBorders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lastRenderedPageBreak/>
              <w:t xml:space="preserve"> 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      </w:r>
          </w:p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в) до 2020 года </w:t>
            </w:r>
            <w:proofErr w:type="gramStart"/>
            <w:r w:rsidRPr="00EC69CB">
              <w:rPr>
                <w:rFonts w:ascii="Times New Roman" w:hAnsi="Times New Roman" w:cs="Times New Roman"/>
              </w:rPr>
              <w:t>–п</w:t>
            </w:r>
            <w:proofErr w:type="gramEnd"/>
            <w:r w:rsidRPr="00EC69CB">
              <w:rPr>
                <w:rFonts w:ascii="Times New Roman" w:hAnsi="Times New Roman" w:cs="Times New Roman"/>
              </w:rPr>
              <w:t>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В рамках программы «Жильё для российской семьи» ведётся застройка микрорайонов:</w:t>
            </w:r>
          </w:p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 1.«Южные ворота» п. Зональная Станция, «Восточный», застройщик: ТДСК;</w:t>
            </w:r>
          </w:p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2.  «Северный парк» застройщик: « </w:t>
            </w:r>
            <w:proofErr w:type="spellStart"/>
            <w:r w:rsidRPr="00EC69CB">
              <w:rPr>
                <w:rFonts w:ascii="Times New Roman" w:hAnsi="Times New Roman" w:cs="Times New Roman"/>
              </w:rPr>
              <w:t>Карьероуправление</w:t>
            </w:r>
            <w:proofErr w:type="spellEnd"/>
            <w:r w:rsidRPr="00EC69CB">
              <w:rPr>
                <w:rFonts w:ascii="Times New Roman" w:hAnsi="Times New Roman" w:cs="Times New Roman"/>
              </w:rPr>
              <w:t>»;</w:t>
            </w:r>
          </w:p>
          <w:p w:rsidR="00EC69CB" w:rsidRPr="00EC69CB" w:rsidRDefault="00EC69CB" w:rsidP="00AD7451">
            <w:pPr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69CB" w:rsidTr="00EC69CB">
        <w:trPr>
          <w:trHeight w:val="621"/>
        </w:trPr>
        <w:tc>
          <w:tcPr>
            <w:tcW w:w="7513" w:type="dxa"/>
            <w:vMerge w:val="restart"/>
            <w:tcBorders>
              <w:top w:val="nil"/>
            </w:tcBorders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EC69CB" w:rsidRPr="00EC69CB" w:rsidRDefault="00EC69CB" w:rsidP="00EC69CB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жителя-всего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9CB">
              <w:rPr>
                <w:rFonts w:ascii="Times New Roman" w:hAnsi="Times New Roman" w:cs="Times New Roman"/>
              </w:rPr>
              <w:t>(по данным Росстата)</w:t>
            </w:r>
          </w:p>
        </w:tc>
        <w:tc>
          <w:tcPr>
            <w:tcW w:w="992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2016</w:t>
            </w:r>
          </w:p>
        </w:tc>
      </w:tr>
      <w:tr w:rsidR="00EC69CB" w:rsidTr="00EC69CB">
        <w:trPr>
          <w:trHeight w:val="1020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</w:p>
          <w:p w:rsidR="00EC69CB" w:rsidRPr="00EC69CB" w:rsidRDefault="00EC69CB" w:rsidP="00EC69C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EC69CB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</w:p>
          <w:p w:rsidR="00EC69CB" w:rsidRPr="00EC69CB" w:rsidRDefault="00EC69CB" w:rsidP="00EC69CB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20,9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</w:p>
          <w:p w:rsidR="00EC69CB" w:rsidRPr="00EC69CB" w:rsidRDefault="00EC69CB" w:rsidP="00EC69CB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24,7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</w:p>
          <w:p w:rsidR="00EC69CB" w:rsidRPr="00EC69CB" w:rsidRDefault="00EC69CB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26,29</w:t>
            </w:r>
          </w:p>
        </w:tc>
      </w:tr>
      <w:tr w:rsidR="0026287D" w:rsidRPr="001470AF" w:rsidTr="00B35FA4">
        <w:trPr>
          <w:trHeight w:val="2745"/>
        </w:trPr>
        <w:tc>
          <w:tcPr>
            <w:tcW w:w="14459" w:type="dxa"/>
            <w:gridSpan w:val="6"/>
          </w:tcPr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Стоимость в 4 квартале 2015 года   1 квадратного метра составила:    на первичном рынке -45 226 рублей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EC69CB">
              <w:rPr>
                <w:rFonts w:ascii="Times New Roman" w:hAnsi="Times New Roman" w:cs="Times New Roman"/>
              </w:rPr>
              <w:t xml:space="preserve">                             </w:t>
            </w:r>
            <w:r w:rsidRPr="00EC69CB">
              <w:rPr>
                <w:rFonts w:ascii="Times New Roman" w:hAnsi="Times New Roman" w:cs="Times New Roman"/>
              </w:rPr>
              <w:t>на вторичном рынке – 49 079 рублей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>Стоимость в 1 квартале 2016 года   1 квадратного метра составила:    на первичном рынке - 48 971 рублей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на вторичном рынке – 49 645 рублей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В рамках программы « Жильё для Российской семьи» реализуется по стоимости за 1 </w:t>
            </w:r>
            <w:proofErr w:type="spellStart"/>
            <w:r w:rsidRPr="00EC69CB">
              <w:rPr>
                <w:rFonts w:ascii="Times New Roman" w:hAnsi="Times New Roman" w:cs="Times New Roman"/>
              </w:rPr>
              <w:t>кв.м</w:t>
            </w:r>
            <w:proofErr w:type="spellEnd"/>
            <w:r w:rsidRPr="00EC69CB">
              <w:rPr>
                <w:rFonts w:ascii="Times New Roman" w:hAnsi="Times New Roman" w:cs="Times New Roman"/>
              </w:rPr>
              <w:t>. 35000 рублей, что составляет на 29,5 % ниже рыночной на первичном рынке.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</w:rPr>
            </w:pPr>
            <w:r w:rsidRPr="00EC69CB">
              <w:rPr>
                <w:rFonts w:ascii="Times New Roman" w:hAnsi="Times New Roman" w:cs="Times New Roman"/>
              </w:rPr>
              <w:t xml:space="preserve">Введено за 1 квартал 2016 года 108284 </w:t>
            </w:r>
            <w:proofErr w:type="spellStart"/>
            <w:r w:rsidRPr="00EC69CB">
              <w:rPr>
                <w:rFonts w:ascii="Times New Roman" w:hAnsi="Times New Roman" w:cs="Times New Roman"/>
              </w:rPr>
              <w:t>кв.м</w:t>
            </w:r>
            <w:proofErr w:type="spellEnd"/>
            <w:r w:rsidRPr="00EC69CB">
              <w:rPr>
                <w:rFonts w:ascii="Times New Roman" w:hAnsi="Times New Roman" w:cs="Times New Roman"/>
              </w:rPr>
              <w:t>., что в процентном соотношении к июню прошлого года составляет 156,7 %</w:t>
            </w:r>
          </w:p>
          <w:p w:rsidR="0026287D" w:rsidRPr="00EC69CB" w:rsidRDefault="0026287D" w:rsidP="00AD74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5FA4" w:rsidRDefault="00B35FA4">
      <w:pPr>
        <w:rPr>
          <w:rFonts w:ascii="Times New Roman" w:hAnsi="Times New Roman" w:cs="Times New Roman"/>
        </w:rPr>
      </w:pPr>
    </w:p>
    <w:p w:rsidR="00B35FA4" w:rsidRDefault="00B35FA4">
      <w:pPr>
        <w:rPr>
          <w:rFonts w:ascii="Times New Roman" w:hAnsi="Times New Roman" w:cs="Times New Roman"/>
        </w:rPr>
      </w:pPr>
    </w:p>
    <w:p w:rsidR="00B35FA4" w:rsidRDefault="00B35FA4">
      <w:pPr>
        <w:rPr>
          <w:rFonts w:ascii="Times New Roman" w:hAnsi="Times New Roman" w:cs="Times New Roman"/>
        </w:rPr>
      </w:pPr>
    </w:p>
    <w:p w:rsidR="00B35FA4" w:rsidRDefault="00B35FA4">
      <w:pPr>
        <w:rPr>
          <w:rFonts w:ascii="Times New Roman" w:hAnsi="Times New Roman" w:cs="Times New Roman"/>
        </w:rPr>
      </w:pPr>
    </w:p>
    <w:p w:rsidR="00B35FA4" w:rsidRDefault="00B35FA4">
      <w:pPr>
        <w:rPr>
          <w:rFonts w:ascii="Times New Roman" w:hAnsi="Times New Roman" w:cs="Times New Roman"/>
        </w:rPr>
      </w:pPr>
    </w:p>
    <w:p w:rsidR="00633110" w:rsidRPr="00EC69CB" w:rsidRDefault="00EC69CB">
      <w:pPr>
        <w:rPr>
          <w:rFonts w:ascii="Times New Roman" w:hAnsi="Times New Roman" w:cs="Times New Roman"/>
        </w:rPr>
      </w:pPr>
      <w:r w:rsidRPr="00EC69CB">
        <w:rPr>
          <w:rFonts w:ascii="Times New Roman" w:hAnsi="Times New Roman" w:cs="Times New Roman"/>
        </w:rPr>
        <w:lastRenderedPageBreak/>
        <w:t>Примечание: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99"/>
        <w:gridCol w:w="3260"/>
      </w:tblGrid>
      <w:tr w:rsidR="00AE563A" w:rsidRPr="008E08DB" w:rsidTr="00EC69CB">
        <w:tc>
          <w:tcPr>
            <w:tcW w:w="11199" w:type="dxa"/>
          </w:tcPr>
          <w:p w:rsidR="00AE563A" w:rsidRPr="008E08DB" w:rsidRDefault="00AE563A" w:rsidP="00AE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</w:tcPr>
          <w:p w:rsidR="00AE563A" w:rsidRPr="008E08DB" w:rsidRDefault="00AE563A" w:rsidP="00AE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Предусмотрено в бюджете Томского района на 2016 год</w:t>
            </w:r>
          </w:p>
          <w:p w:rsidR="00774E97" w:rsidRPr="008E08DB" w:rsidRDefault="00774E97" w:rsidP="00AE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E08DB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8E08D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E08DB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8E08DB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AE563A" w:rsidP="00AE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260" w:type="dxa"/>
          </w:tcPr>
          <w:p w:rsidR="00AE563A" w:rsidRPr="008E08DB" w:rsidRDefault="00253990" w:rsidP="00AE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70402,98</w:t>
            </w: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253990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 xml:space="preserve">          В том числе:</w:t>
            </w:r>
          </w:p>
        </w:tc>
        <w:tc>
          <w:tcPr>
            <w:tcW w:w="3260" w:type="dxa"/>
          </w:tcPr>
          <w:p w:rsidR="00AE563A" w:rsidRPr="008E08DB" w:rsidRDefault="00AE563A" w:rsidP="00AE5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253990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Оказание государственной поддержки отдельным категориям граждан (молодые семьи, работники бюджетной сферы), привлекающим ипотечные кредиты</w:t>
            </w:r>
          </w:p>
        </w:tc>
        <w:tc>
          <w:tcPr>
            <w:tcW w:w="3260" w:type="dxa"/>
          </w:tcPr>
          <w:p w:rsidR="00AE563A" w:rsidRPr="008E08DB" w:rsidRDefault="00253990" w:rsidP="00AE563A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5000,00</w:t>
            </w: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253990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      </w:r>
          </w:p>
        </w:tc>
        <w:tc>
          <w:tcPr>
            <w:tcW w:w="3260" w:type="dxa"/>
          </w:tcPr>
          <w:p w:rsidR="00AE563A" w:rsidRPr="008E08DB" w:rsidRDefault="00253990" w:rsidP="00AE563A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65402,98</w:t>
            </w:r>
          </w:p>
        </w:tc>
      </w:tr>
      <w:tr w:rsidR="00AE563A" w:rsidRPr="008E08DB" w:rsidTr="00EC69CB">
        <w:tc>
          <w:tcPr>
            <w:tcW w:w="11199" w:type="dxa"/>
          </w:tcPr>
          <w:p w:rsidR="00253990" w:rsidRPr="008E08DB" w:rsidRDefault="00253990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 xml:space="preserve">           Из них:</w:t>
            </w:r>
          </w:p>
        </w:tc>
        <w:tc>
          <w:tcPr>
            <w:tcW w:w="3260" w:type="dxa"/>
          </w:tcPr>
          <w:p w:rsidR="00AE563A" w:rsidRPr="008E08DB" w:rsidRDefault="00AE563A" w:rsidP="00AE5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253990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Газификация муниципального образования «Томский район»</w:t>
            </w:r>
          </w:p>
        </w:tc>
        <w:tc>
          <w:tcPr>
            <w:tcW w:w="3260" w:type="dxa"/>
          </w:tcPr>
          <w:p w:rsidR="00AE563A" w:rsidRPr="008E08DB" w:rsidRDefault="00253990" w:rsidP="00AE563A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3743,70</w:t>
            </w:r>
          </w:p>
        </w:tc>
      </w:tr>
      <w:tr w:rsidR="00AE563A" w:rsidRPr="008E08DB" w:rsidTr="00EC69CB">
        <w:tc>
          <w:tcPr>
            <w:tcW w:w="11199" w:type="dxa"/>
          </w:tcPr>
          <w:p w:rsidR="00AE563A" w:rsidRPr="008E08DB" w:rsidRDefault="00774E97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Развитие социальной и инженерной инфраструктуры Томского района</w:t>
            </w:r>
          </w:p>
        </w:tc>
        <w:tc>
          <w:tcPr>
            <w:tcW w:w="3260" w:type="dxa"/>
          </w:tcPr>
          <w:p w:rsidR="00AE563A" w:rsidRPr="008E08DB" w:rsidRDefault="00774E97" w:rsidP="00AE563A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57612,48</w:t>
            </w:r>
          </w:p>
        </w:tc>
      </w:tr>
      <w:tr w:rsidR="00253990" w:rsidRPr="008E08DB" w:rsidTr="00EC69CB">
        <w:tc>
          <w:tcPr>
            <w:tcW w:w="11199" w:type="dxa"/>
          </w:tcPr>
          <w:p w:rsidR="00253990" w:rsidRPr="008E08DB" w:rsidRDefault="00774E97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Устойчивое развитие сельских территорий муниципального образования «Томский район»</w:t>
            </w:r>
          </w:p>
        </w:tc>
        <w:tc>
          <w:tcPr>
            <w:tcW w:w="3260" w:type="dxa"/>
          </w:tcPr>
          <w:p w:rsidR="00253990" w:rsidRPr="008E08DB" w:rsidRDefault="00774E97" w:rsidP="00AE563A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4046,80</w:t>
            </w:r>
          </w:p>
        </w:tc>
      </w:tr>
    </w:tbl>
    <w:p w:rsidR="00AE563A" w:rsidRDefault="00AE563A"/>
    <w:p w:rsidR="00F6602D" w:rsidRPr="00F6602D" w:rsidRDefault="00F6602D">
      <w:pPr>
        <w:rPr>
          <w:rFonts w:ascii="Times New Roman" w:hAnsi="Times New Roman" w:cs="Times New Roman"/>
        </w:rPr>
      </w:pPr>
      <w:r>
        <w:tab/>
      </w:r>
      <w:r w:rsidRPr="00F6602D">
        <w:rPr>
          <w:rFonts w:ascii="Times New Roman" w:hAnsi="Times New Roman" w:cs="Times New Roman"/>
        </w:rPr>
        <w:t xml:space="preserve">Информация об исполнении поручений и указаний Президента Российской Федерации размещается на официальном сайте муниципального образования «Томский район». </w:t>
      </w:r>
    </w:p>
    <w:p w:rsidR="00F6602D" w:rsidRDefault="00F6602D">
      <w:bookmarkStart w:id="0" w:name="_GoBack"/>
      <w:bookmarkEnd w:id="0"/>
    </w:p>
    <w:sectPr w:rsidR="00F6602D" w:rsidSect="00B35FA4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1"/>
    <w:rsid w:val="00097601"/>
    <w:rsid w:val="001202BB"/>
    <w:rsid w:val="001D0890"/>
    <w:rsid w:val="00253990"/>
    <w:rsid w:val="0026287D"/>
    <w:rsid w:val="00376315"/>
    <w:rsid w:val="003F7774"/>
    <w:rsid w:val="00551440"/>
    <w:rsid w:val="00616B9A"/>
    <w:rsid w:val="00623C10"/>
    <w:rsid w:val="00633110"/>
    <w:rsid w:val="006F1074"/>
    <w:rsid w:val="00774E97"/>
    <w:rsid w:val="00876749"/>
    <w:rsid w:val="008E08DB"/>
    <w:rsid w:val="009B7FCF"/>
    <w:rsid w:val="00AE563A"/>
    <w:rsid w:val="00B335E0"/>
    <w:rsid w:val="00B35FA4"/>
    <w:rsid w:val="00D72D28"/>
    <w:rsid w:val="00EC69CB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8767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767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"/>
    <w:basedOn w:val="a6"/>
    <w:rsid w:val="00876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6"/>
    <w:rsid w:val="00876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8767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767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"/>
    <w:basedOn w:val="a6"/>
    <w:rsid w:val="00876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6"/>
    <w:rsid w:val="00876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FB9F-BEFD-42DB-8E42-0145A1C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Бельтикова Евгения</dc:creator>
  <cp:lastModifiedBy>Ковалева Анна</cp:lastModifiedBy>
  <cp:revision>11</cp:revision>
  <cp:lastPrinted>2016-07-26T09:51:00Z</cp:lastPrinted>
  <dcterms:created xsi:type="dcterms:W3CDTF">2016-07-25T09:15:00Z</dcterms:created>
  <dcterms:modified xsi:type="dcterms:W3CDTF">2016-07-26T10:18:00Z</dcterms:modified>
</cp:coreProperties>
</file>